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sz w:val="40"/>
          <w:szCs w:val="32"/>
        </w:rPr>
      </w:pPr>
      <w:r>
        <w:rPr>
          <w:rFonts w:hint="eastAsia" w:ascii="方正小标宋简体" w:hAnsi="仿宋" w:eastAsia="方正小标宋简体"/>
          <w:sz w:val="40"/>
          <w:szCs w:val="32"/>
        </w:rPr>
        <w:t>202</w:t>
      </w:r>
      <w:r>
        <w:rPr>
          <w:rFonts w:hint="eastAsia" w:ascii="方正小标宋简体" w:hAnsi="仿宋" w:eastAsia="方正小标宋简体"/>
          <w:sz w:val="40"/>
          <w:szCs w:val="32"/>
          <w:lang w:val="en-US" w:eastAsia="zh-CN"/>
        </w:rPr>
        <w:t>1</w:t>
      </w:r>
      <w:r>
        <w:rPr>
          <w:rFonts w:hint="eastAsia" w:ascii="方正小标宋简体" w:hAnsi="仿宋" w:eastAsia="方正小标宋简体"/>
          <w:sz w:val="40"/>
          <w:szCs w:val="32"/>
        </w:rPr>
        <w:t>年第</w:t>
      </w:r>
      <w:r>
        <w:rPr>
          <w:rFonts w:hint="eastAsia" w:ascii="方正小标宋简体" w:hAnsi="仿宋" w:eastAsia="方正小标宋简体"/>
          <w:sz w:val="40"/>
          <w:szCs w:val="32"/>
          <w:lang w:eastAsia="zh-CN"/>
        </w:rPr>
        <w:t>二</w:t>
      </w:r>
      <w:r>
        <w:rPr>
          <w:rFonts w:hint="eastAsia" w:ascii="方正小标宋简体" w:hAnsi="仿宋" w:eastAsia="方正小标宋简体"/>
          <w:sz w:val="40"/>
          <w:szCs w:val="32"/>
        </w:rPr>
        <w:t>次广州市社科规划课题结项名单</w:t>
      </w:r>
    </w:p>
    <w:p>
      <w:pPr>
        <w:numPr>
          <w:ilvl w:val="0"/>
          <w:numId w:val="1"/>
        </w:numPr>
        <w:ind w:firstLine="470" w:firstLineChars="147"/>
        <w:rPr>
          <w:rFonts w:hint="eastAsia" w:ascii="黑体" w:hAnsi="黑体" w:eastAsia="黑体"/>
          <w:bCs/>
          <w:sz w:val="32"/>
          <w:szCs w:val="32"/>
        </w:rPr>
      </w:pPr>
      <w:r>
        <w:rPr>
          <w:rFonts w:hint="eastAsia" w:ascii="黑体" w:hAnsi="黑体" w:eastAsia="黑体"/>
          <w:bCs/>
          <w:sz w:val="32"/>
          <w:szCs w:val="32"/>
        </w:rPr>
        <w:t>重大、智库课题结项名单</w:t>
      </w:r>
    </w:p>
    <w:tbl>
      <w:tblPr>
        <w:tblStyle w:val="7"/>
        <w:tblW w:w="5284" w:type="pct"/>
        <w:tblInd w:w="-3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37"/>
        <w:gridCol w:w="1685"/>
        <w:gridCol w:w="3227"/>
        <w:gridCol w:w="1066"/>
        <w:gridCol w:w="1561"/>
        <w:gridCol w:w="10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28"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序号</w:t>
            </w:r>
          </w:p>
        </w:tc>
        <w:tc>
          <w:tcPr>
            <w:tcW w:w="938"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课题编号</w:t>
            </w:r>
          </w:p>
        </w:tc>
        <w:tc>
          <w:tcPr>
            <w:tcW w:w="1793"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课题名称</w:t>
            </w:r>
          </w:p>
        </w:tc>
        <w:tc>
          <w:tcPr>
            <w:tcW w:w="594"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负责人</w:t>
            </w:r>
          </w:p>
        </w:tc>
        <w:tc>
          <w:tcPr>
            <w:tcW w:w="869"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单位</w:t>
            </w:r>
          </w:p>
        </w:tc>
        <w:tc>
          <w:tcPr>
            <w:tcW w:w="574"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2020GZZK04</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习近平总书记关于全面依法治国重要论述研究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陈佑武</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广东财经大学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2018GZZK16</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供给侧改革下广州世界级先进制造业集群培育路径与政策研究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谭蓉娟</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广东工业大学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eastAsia="zh-CN"/>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2018GZZK21</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新型城镇化与乡村振兴战略下激活广州农村产权潜能对策研究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苏柱华</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广东省农业科学院农业经济与信息研究所</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eastAsia="zh-CN"/>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4</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2020GZWTZD14</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广州推动高质量发展系列研究（含广州高水平打造区域经济新动能研究）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刘江华</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广东亚太创新经济研究院</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5</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2020GZWTZD15</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提升广州特大城市公共卫生治理能力研究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张建华</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广州中医药大学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6</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2018GZZK07</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广州推动互联网、大数据、人工智能和实体经济深度融合研究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梅林海</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暨南大学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7</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2020GZWTZD16</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提升广州特大城市公共卫生治理能力研究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王冬</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南方医科大学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8</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2018GZZK17</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广州市城镇化与乡村振兴协调发展研究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杨青生</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广东财经大学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9</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2018GZZK22</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广州市推动互联网、大数据、人工智能与农产品流通业深度融合研究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林伟君</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广东省农业科学院农业经济与信息研究所</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default"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10</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2020GZZK03</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广州市上市公司股权激励对企业创新的影响研究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陈艳艳</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华南农业大学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437" w:type="dxa"/>
            <w:noWrap w:val="0"/>
            <w:vAlign w:val="center"/>
          </w:tcPr>
          <w:p>
            <w:pPr>
              <w:keepNext w:val="0"/>
              <w:keepLines w:val="0"/>
              <w:widowControl/>
              <w:suppressLineNumbers w:val="0"/>
              <w:jc w:val="center"/>
              <w:textAlignment w:val="center"/>
              <w:rPr>
                <w:rFonts w:hint="default"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11</w:t>
            </w:r>
          </w:p>
        </w:tc>
        <w:tc>
          <w:tcPr>
            <w:tcW w:w="1798"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2018GZZK11</w:t>
            </w:r>
          </w:p>
        </w:tc>
        <w:tc>
          <w:tcPr>
            <w:tcW w:w="343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广州培育若干世界级先进制造业集群研究</w:t>
            </w:r>
          </w:p>
        </w:tc>
        <w:tc>
          <w:tcPr>
            <w:tcW w:w="1138"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林秀丽</w:t>
            </w:r>
          </w:p>
        </w:tc>
        <w:tc>
          <w:tcPr>
            <w:tcW w:w="1666" w:type="dxa"/>
            <w:noWrap w:val="0"/>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华南师范大学</w:t>
            </w:r>
          </w:p>
        </w:tc>
        <w:tc>
          <w:tcPr>
            <w:tcW w:w="1100" w:type="dxa"/>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color w:val="000000"/>
                <w:kern w:val="0"/>
                <w:sz w:val="20"/>
                <w:szCs w:val="20"/>
                <w:u w:val="none"/>
                <w:lang w:val="en-US" w:eastAsia="zh-CN" w:bidi="ar"/>
              </w:rPr>
              <w:t>合格</w:t>
            </w:r>
          </w:p>
        </w:tc>
      </w:tr>
    </w:tbl>
    <w:p>
      <w:pPr>
        <w:ind w:firstLine="470" w:firstLineChars="147"/>
        <w:jc w:val="left"/>
        <w:rPr>
          <w:rFonts w:hint="eastAsia" w:ascii="黑体" w:hAnsi="黑体" w:eastAsia="黑体"/>
          <w:bCs/>
          <w:sz w:val="32"/>
          <w:szCs w:val="32"/>
        </w:rPr>
      </w:pPr>
      <w:r>
        <w:rPr>
          <w:rFonts w:hint="eastAsia" w:ascii="黑体" w:hAnsi="黑体" w:eastAsia="黑体"/>
          <w:bCs/>
          <w:sz w:val="32"/>
          <w:szCs w:val="32"/>
        </w:rPr>
        <w:t>二、一般课题结项名单</w:t>
      </w:r>
    </w:p>
    <w:tbl>
      <w:tblPr>
        <w:tblStyle w:val="7"/>
        <w:tblW w:w="5248" w:type="pct"/>
        <w:tblInd w:w="-2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16"/>
        <w:gridCol w:w="1661"/>
        <w:gridCol w:w="3196"/>
        <w:gridCol w:w="1033"/>
        <w:gridCol w:w="1414"/>
        <w:gridCol w:w="11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序号</w:t>
            </w:r>
          </w:p>
        </w:tc>
        <w:tc>
          <w:tcPr>
            <w:tcW w:w="928"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课题编号</w:t>
            </w:r>
          </w:p>
        </w:tc>
        <w:tc>
          <w:tcPr>
            <w:tcW w:w="1785"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课题名称</w:t>
            </w:r>
          </w:p>
        </w:tc>
        <w:tc>
          <w:tcPr>
            <w:tcW w:w="577"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负责人</w:t>
            </w:r>
          </w:p>
        </w:tc>
        <w:tc>
          <w:tcPr>
            <w:tcW w:w="790"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单位</w:t>
            </w:r>
          </w:p>
        </w:tc>
        <w:tc>
          <w:tcPr>
            <w:tcW w:w="628" w:type="pct"/>
            <w:noWrap w:val="0"/>
            <w:vAlign w:val="center"/>
          </w:tcPr>
          <w:p>
            <w:pPr>
              <w:widowControl/>
              <w:spacing w:line="0" w:lineRule="atLeast"/>
              <w:contextualSpacing/>
              <w:rPr>
                <w:rFonts w:cs="宋体"/>
                <w:b/>
                <w:bCs/>
                <w:color w:val="000000"/>
                <w:kern w:val="0"/>
                <w:sz w:val="22"/>
              </w:rPr>
            </w:pPr>
            <w:r>
              <w:rPr>
                <w:rFonts w:hint="eastAsia" w:cs="宋体"/>
                <w:b/>
                <w:bCs/>
                <w:color w:val="000000"/>
                <w:kern w:val="0"/>
                <w:sz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2017GZYB19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加快建立广州房地产市场健康发展的长效机制研究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欧江波</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广州市社会科学院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2018GZMZYB42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新时代壮大高校主流思想舆论的协同机制研究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龚超</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广州医科大学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2018GZYB11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大数据背景下广州政府数据开放共享动力机制研究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刘红波</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2018GZYB17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基于大数据的网络舆情分析在广州市传染病监测预警中的应用研究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罗韵娟</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2018GZYB53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中外媒体话语中广州城市国际形象的语料库研究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邓飞</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2018GZYB38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习近平新时代中国特色社会主义思想对历史唯物主义重要创新研究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关锋</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2019GZYB33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大湾区建设背景下广州市境外人员子女教育支持体系研究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余晖</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2018GZMZYB20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马克思社会治理思想及其当代发展</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雷琼</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广东财经大学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2018GZMZYB38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习近平新时代中国特色社会主义经济思想研究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黄华</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广东财经大学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2018GZYB96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珠三角地区摩崖石刻书法文化研究报告</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苏壁郎</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广东第二师范学院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2018GZYB61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共享经济对中小企业创新行为的影响研究——网络博弈视角</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朱怀念</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2018GZYB63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广州20世纪建筑遗产研究性保护机制探索</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陈吟</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2018GZYB64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广州市工业能源效率测度、制约因素及动态监测研究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廖诺</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2018GZYB67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社会热点事件网络舆情的多主体协同治理模式研究——基于事件主题及情感的演变监测</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艾丹祥</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2018GZYB68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新时代社会主义意识形态话语体系建设与传播研究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揭晓</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2020GZYB55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粤港澳大湾区先进制造业发展战略与实施路径研究：产业空间布局视角</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吴小节</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2018GZYB82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十月革命纪念活动与中国共产党政治话语建构研究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孟令蓉</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广东技术师范大学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2018GZYB83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广州地区低碳社区居民资源共享服务系统设计研究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鄢莉</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广东技术师范大学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2017GZYB29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就业结构调整与防范失业战略研究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何亦名</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2018GZYB90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广州市金融科技与金融体系融合发展的影响因素、方式和路径研究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谢治春</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2018GZYB55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广州创建珠三角法治政府示范区思路与对策研究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潘高峰</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广东外语外贸大学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2018GZYB57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广州在打造“海陆内外联动、东西双向互济”的全面开放新格局中的定位与策略</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林创伟</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广东外语外贸大学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2020GZYB44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信息披露影响并购重组的监管策略研究——基于粤港澳大湾区媒体融合的经验证据</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陈文婷</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广东外语外贸大学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2017GZYB01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“互联网+”背景下的广州市智慧养老服务模式及对策研究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胡海波</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广东药科大学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2018GZMZYB24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社会主义意识形态安全视域下广州地区高校马克思主义学院建设研究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张居永</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广东药科大学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2018GZYB81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新时代数字人文对岭南文化传承与创新研究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钟莹</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广东药科大学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2018GZMZYB40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政治传播视域下历史虚无主义的发展趋势及应对研究：以广州市高校为例</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王雄</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2018GZYB116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大数据时代基于粤剧服饰与妆容的数字化整理研究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熊忆</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29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2018GZYB121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广州市深化国家监察体制改革战略研究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刘建义</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2018GZYB123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竞合关系下联合采购联盟的运作策略与稳定性研究——以广州市中小企业联合采购联盟为例</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肖旦</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2018GZYB124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马克思主义视域的城市空间正义及我国城市空间治理研究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刘莉</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2021GZYB24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广州推动空铁联运打造空铁融合发展示范区研究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陈晓明</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广州市城市规划勘测设计研究院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2018GZYB134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中国特色社会主义文化品牌的国际发展战略研究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高翔</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广州医科大学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2019GZYB55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中医医学术语概念隐喻加工中言、意、象互相作用的机制研究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马利军</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广州中医药大学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2018GZYB09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从国内一流到世界一流：广州后发企业的追赶与超越</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刘洋</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2018GZYB18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面向动态网群组织的广州市智慧社会治理模式人工计算解析路径研究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张鼎华</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2018GZYB19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文化导向更新背景下广州市创意产业区空间生产的动力机制与政策响应研究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毕斗斗</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2018GZYB21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习近平构建人类命运共同体思想的全球治理意蕴研究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亢升</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2018GZYB24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粤港澳大湾区港口集群的发展路径研究——从组合港到港口区域经济一体化</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顾一妙</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40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2019GZYB09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岭南私园“公园化”后景观空间量化模式研究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梁明捷</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41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2017GZYB51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政府购买服务下广州社会组织内的竞合关系与资源整合研究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张沁洁</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42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2018GZYB41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“葛洪与岭南”资料整理及研究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刘玲娣</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2018GZYB46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基于文化传承的广州城中村微改造策略研究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陈薇薇</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2018GZYB47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卧床老人可穿戴产品的交互设计研究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张艳河</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2018GZYB48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习近平新时代党的意识形态工作创新研究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朱斌</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2018GZYB34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《联共（布）党史》与毛泽东的教科书政治</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许冲</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2018GZYB40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中文句法表征的认知和神经机制：来自句法启动范式的行为学，眼动和ERP研究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黄健</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2019GZYB28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提升广州城市中心区景观形象的微绿地创新研究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常娜</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2020GZYB28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广州建设粤港澳大湾区国际教育示范区研究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陈先哲</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2018GZYB32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中国特色社会主义宗教观的历史渊薮与时代价值研究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冷婧如</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2018GZMZYB15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新时代绿色消费价值观培育研究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吉志鹏</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2018GZYB72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健康广州背景下社区居家环境适老化评估体系的构建</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孙晓嘉</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2018GZYB135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绿色发展理念下推进广州美丽乡村建设研究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黄克亮</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中共广州市委党校</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2018GZYB01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基于新城市主义视角的广州非中心城区功能疏解策略研究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张雪帆</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2018GZMZYB19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广州青年社会主义核心价值观实践养成研究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胡培培</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广东财经大学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2018GZYB77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广州完善大数据产业链推动与实体经济深度融合实现路径研究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尹华</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广东财经大学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2018GZYB78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基于入户问卷调查的广州市政策性农业保险农户满意度研究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张祖荣</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广东财经大学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2018GZYB79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以PPP模式促进广州养老服务供给的机制和路径研究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郭嘉仪</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广东财经大学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2019GZYB47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建国70年广州城市形象的塑造与传播研究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吴献举</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广东财经大学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2018GZMZYB16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文化自信视阈中广州推进核心价值观的国际传播研究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曹亚琴</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2018GZYB60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大数据推动广州制造企业服务化转型的机制与对策研究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王永健</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2018GZYB62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供给侧改革视角下的广东省出口产品质量升级研究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李景睿</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2018GZYB65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广州市利用集体建设用地建住房租赁的法律障碍及对策研究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周为吉</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广东工业大学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2018GZMZYB27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新时代中国海外移民中华民族共同体意识的培育研究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陈世柏</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广东金融学院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2018GZMZYB28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网络时代增强岭南文化影响力研究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潇潇</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广东金融学院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2018GZYB89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广州城市宣传片的创作与传播策略研究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袁文丽</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广东金融学院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2019GZYB74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近代广府传统祠庙建筑脊饰艺术研究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曹春晓</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广东科学技术职业学院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2018GZMZYB30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十一届三中全会以来中共纪念活动对当前党的宣传思想工作的启示</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任茵</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广东轻工职业技术学院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2018GZMZYB32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广州推进新时代红色文化讲习所建设研究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吴俊平</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广东轻工职业技术学院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2018GZMZYB33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新媒体环境下高校网络舆情应对策略体系的研究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吴忠坤</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广东轻工职业技术学院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2019GZYB67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习近平新时代生态文明思想的哲学意蕴及其当代价值研究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高顺起</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广东轻工职业技术学院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2018GZMZYB37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广州青少年社会主义核心价值观实践养成研究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张文彬</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广东水利电力职业技术学院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2018GZYB54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法国移民子女教育政策研究及其对在穗外国人治理的启示</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吕继群</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2018GZYB58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新时代广州城市基层党建与社会治理路径创新研究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包生耿</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2019GZYB44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汉语自闭症谱系障碍对含意理解的影响因素研究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柳恒爽</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2016GZYB11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基于城乡共生理论的广州 “大城市病” 治理现代化研究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刘凤梅</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广东舞蹈戏剧职业学院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2019GZYB57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“互联网+”背景下高校智慧教育信息化云平台研究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麦淑平</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广东药科大学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2017GZYB110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广州市中小学教师信息技术应用能力情境测评的实施路径研究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杜玉霞</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2018GZMZYB39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UGC生产范式下的广州城市品牌塑造与传插策略研究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刘涛</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2018GZMZYB41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新时代发展积极健康党内政治文化研究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吴九占</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2018GZYB117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高校教学改革领域学生参与问题研究——基于以学生为中心的理论视角</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蔡忠兵</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2018GZYB118</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广绣文献资源整理及研究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苏慧红</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2018GZYB120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广州传统村镇旅游景观创造性破坏研究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肖佑兴</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2018GZYB125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美好生活实践中的公民道德建设研究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石若坤</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2018GZYB126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面向深度学习的教师信息化教学能力提升策略及效果研究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杨琳</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2018GZYB127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社会主义核心价值观融入大学生职业生涯教育践行研究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祁禄</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2018GZYB129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研发资本化下广州市经济发展方式的测度分析</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王孟欣</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2018GZYB130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幼儿园教师实践性知识的表征形式研究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王季云</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2018GZYB131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粤港澳大湾区视野下的澳门文学书写研究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雷淑叶</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2018GZYB139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区域创新生态系统情境下建设世界一流企业的战略路径研究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邓白君</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广州番禺职业技术学院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2017GZYB57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高职院校培育和践行社会主义核心价值观研究——以广州市为例</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李艳</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广州工程技术职业学院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2018GZYB140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新时代精准扶贫工作绩效评估研究——以广州市对口帮扶XX村为例</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谭素娴</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广州工程技术职业学院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2017GZYB94</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自媒体时代主流意识形态话语面临的挑战及对策研究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王舜</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广州科技贸易职业学院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15Y47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广州市新农村建筑节能规划研究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侯庆华</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广州理工学院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2020GZYB96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5G背景下数字经济引领广州产业高质量发展研究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罗谷松</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广州市社会科学院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2017GZYB03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空间生产视角下广州特色小镇规划研究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张媛媛</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2018GZYB75</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新时期高校意识形态工作方法创新研究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林彬</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广州中医药大学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15Y10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艾米莉·狄金森诗歌翻译特征研究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周建新</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2018GZWT09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广州全球城市战略与南沙自贸区联动发展研究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谭锐</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从形象到品质——新时代广州城市形象转型提升路径研究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杨克青</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2018GZYB13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共享经济中的共享者行为与组织形态变革</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廖俊峰</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2018GZYB20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文化同源视角下粤港澳湾区会展经济的区域差异及协同创新</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庞华</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2018GZYB23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邮轮旅游促进粤港澳大湾区旅游协同发展互利合作机制研究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魏卫</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2017GZMZYB21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自媒体平台对马克思主义传播的机制与成效研究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郭燕锋</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2018GZMZYB12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习近平新时代中国特色社会主义思想的国际传播研究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顾美霞</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2018GZMZYB13</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当前重大思想理论问题的辨析引导研究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练庆伟</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107</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2018GZYB49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乡村振兴背景下广州市乡村空间重构的路径选择</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李灿</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2018GZYB52</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粤剧与西秦戏的比较研究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刘红娟</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109</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2018GZMZYB10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青少年学生坚定的共产主义信念形成的心理机 制及培养研究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陈俊</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110</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2018GZYB36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基于大数据智能分析的网络空间综合治理体系研究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刘寿强</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111</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2018GZYB39</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粤籍知识分子与马克思主义在中国的早期传播研究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阮春林</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112</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2018GZMZYB06</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培养担当民族复兴大任的时代新人：以广州高校港澳台侨生培养为例</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赫栋峰</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113</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2018GZMZYB07</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讲好新时代广州故事研究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黄净</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114</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2020GZYB21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“粤港澳大湾区建设”背景下来粤留学生发展质量研究——基于广州市高校的实证研究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张旺</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115</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2018GZYB70</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公正威胁事件对大众情绪、认知与行为的影响及应对措施研究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曾细花</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88" w:type="pct"/>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116</w:t>
            </w:r>
          </w:p>
        </w:tc>
        <w:tc>
          <w:tcPr>
            <w:tcW w:w="928"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2018GZMZYB01</w:t>
            </w:r>
          </w:p>
        </w:tc>
        <w:tc>
          <w:tcPr>
            <w:tcW w:w="178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岭南文化的精髓与标识研究</w:t>
            </w:r>
          </w:p>
        </w:tc>
        <w:tc>
          <w:tcPr>
            <w:tcW w:w="5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夏令伟</w:t>
            </w:r>
          </w:p>
        </w:tc>
        <w:tc>
          <w:tcPr>
            <w:tcW w:w="79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w:t>
            </w:r>
          </w:p>
        </w:tc>
        <w:tc>
          <w:tcPr>
            <w:tcW w:w="62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Pr>
        <w:ind w:firstLine="470" w:firstLineChars="147"/>
        <w:jc w:val="left"/>
        <w:rPr>
          <w:rFonts w:hint="eastAsia" w:ascii="黑体" w:hAnsi="黑体" w:eastAsia="黑体"/>
          <w:bCs/>
          <w:sz w:val="32"/>
          <w:szCs w:val="32"/>
        </w:rPr>
      </w:pPr>
      <w:r>
        <w:rPr>
          <w:rFonts w:hint="eastAsia" w:ascii="黑体" w:hAnsi="黑体" w:eastAsia="黑体"/>
          <w:bCs/>
          <w:sz w:val="32"/>
          <w:szCs w:val="32"/>
        </w:rPr>
        <w:t>三、青年课题结项名单</w:t>
      </w:r>
    </w:p>
    <w:tbl>
      <w:tblPr>
        <w:tblStyle w:val="7"/>
        <w:tblW w:w="5249" w:type="pct"/>
        <w:tblInd w:w="-2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3"/>
        <w:gridCol w:w="1670"/>
        <w:gridCol w:w="3153"/>
        <w:gridCol w:w="1047"/>
        <w:gridCol w:w="1502"/>
        <w:gridCol w:w="10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序号</w:t>
            </w:r>
          </w:p>
        </w:tc>
        <w:tc>
          <w:tcPr>
            <w:tcW w:w="933"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课题编号</w:t>
            </w:r>
          </w:p>
        </w:tc>
        <w:tc>
          <w:tcPr>
            <w:tcW w:w="1762"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课题名称</w:t>
            </w:r>
          </w:p>
        </w:tc>
        <w:tc>
          <w:tcPr>
            <w:tcW w:w="585"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负责人</w:t>
            </w:r>
          </w:p>
        </w:tc>
        <w:tc>
          <w:tcPr>
            <w:tcW w:w="839" w:type="pct"/>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单位</w:t>
            </w:r>
          </w:p>
        </w:tc>
        <w:tc>
          <w:tcPr>
            <w:tcW w:w="587" w:type="pct"/>
            <w:noWrap w:val="0"/>
            <w:vAlign w:val="center"/>
          </w:tcPr>
          <w:p>
            <w:pPr>
              <w:widowControl/>
              <w:spacing w:line="0" w:lineRule="atLeast"/>
              <w:contextualSpacing/>
              <w:jc w:val="center"/>
              <w:rPr>
                <w:rFonts w:hint="eastAsia" w:cs="宋体"/>
                <w:b/>
                <w:bCs/>
                <w:color w:val="000000"/>
                <w:kern w:val="0"/>
                <w:sz w:val="22"/>
              </w:rPr>
            </w:pPr>
            <w:r>
              <w:rPr>
                <w:rFonts w:hint="eastAsia" w:cs="宋体"/>
                <w:b/>
                <w:bCs/>
                <w:color w:val="000000"/>
                <w:kern w:val="0"/>
                <w:sz w:val="22"/>
              </w:rPr>
              <w:t>评审</w:t>
            </w:r>
          </w:p>
          <w:p>
            <w:pPr>
              <w:widowControl/>
              <w:spacing w:line="0" w:lineRule="atLeast"/>
              <w:contextualSpacing/>
              <w:jc w:val="center"/>
              <w:rPr>
                <w:rFonts w:cs="宋体"/>
                <w:b/>
                <w:bCs/>
                <w:color w:val="000000"/>
                <w:kern w:val="0"/>
                <w:sz w:val="22"/>
              </w:rPr>
            </w:pPr>
            <w:r>
              <w:rPr>
                <w:rFonts w:hint="eastAsia" w:cs="宋体"/>
                <w:b/>
                <w:bCs/>
                <w:color w:val="000000"/>
                <w:kern w:val="0"/>
                <w:sz w:val="22"/>
              </w:rPr>
              <w:t>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1</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2018GZMZQN21</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新时代我国意识形态话语创新的内在机理研究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史英哲</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2</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2018GZQN36</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广州国企混合所有制改革路径及相关问题研究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董艳</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广东财经大学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2018GZQN48</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近代中英文报刊中的广州儿童史料整理与研究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李俊丰</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广东第二师范学院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2017GZQN14</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广州市文化产业空间结构演化机理与提升路径研究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黄丹宇</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广东工业大学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5</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2018GZMZQN10</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习近平新时代中国特色社会主义经济思想研究：基于科技与经济结合的视角</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黄灿</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广东工业大学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2018GZQN28</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大数据时代下广州全面依法治市实践研究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吴月红</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广东工业大学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7</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2018GZQN31</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生态消费中的道德伪善及其心理机制：基于神经营销学的研究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夏天生</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广东工业大学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8</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2018GZQN24</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个性化计算机适应性测试研究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陈锦</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广东外语外贸大学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9</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2018GZQN57</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广州市失独家庭的边缘化及社会支持研究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胡倩</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2018GZQN60</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仙道思想影响下的中韩“五羊仙舞”</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彭有庆</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11</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2018GZQN62</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制度视角下广州制造企业开放创新发展策略研究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李云健</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12</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15Q32</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社会企业社会性和企业性的冲突与调和——广州社会企业发展的现状与制度环境</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宁超乔</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广州市社会科学院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13</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2018GZMZQN02</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大学生参与和推进广州新时代文明实践中心建设研究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张冬利</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14</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2018GZQN04</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广州市城镇化与乡村振兴协调发展研究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胡学东</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15</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2018GZQN05</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广州市企业践行绿色管理的驱动力研究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张峰</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2018GZQN07</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全球治理体系变革下中国当代国际法治观的法治模式研究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胡赫男</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17</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2018GZQN14</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大众可参与的多样化动画衍生项目研究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骆丹丹</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18</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2018GZQN16</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新时代马克思主义中国化话语建构的新挑战与新机遇研究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李张容</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19</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2018GZQN11</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广州基金会筹款方式与利益相关者捐赠行为研究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周缘园</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20</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2018GZQN35</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“营改增”改革减税效应、外溢效应与政策优化研究——以广州市为例</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颜咏华</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广东财经大学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21</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2018GZQN47</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广州市中学生校园欺凌的发展、影响因素及其干预研究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吴妮妮</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广东第二师范学院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22</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2018GZMZQN12</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人类命运共同体内蕴的正义思想研究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袁丽</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广东工业大学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default"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23</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2018GZQN34</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新《预算法》背景下中央对地方教育转移支付绩效评价制度研究——以广东省义务教育为例</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杨诗炜</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24</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2018GZQN46</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粤港澳大湾区金融科技“监管沙盒”法律合作机制研究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王萍</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广东金融学院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25</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2018GZMZQN19</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马克思主义关于坚守人民立场的思想研究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郑晓绵</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广东省外语艺术职业学院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26</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2018GZMZQN09</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习近平新时代中国特色社会主义思想的问题导向研究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金光磊</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27</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2018GZQN23</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大数据环境下的高校图书馆读者需求演进分析及服务模式创新研究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周剑峰</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28</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2018GZQN54</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新时代思想政治教育话语体系创新研究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郝文</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广东外语外贸大学南国商学院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29</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2018GZQN39</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可持续发展视域下广州失能老人长期照护保障研究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申若茜</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广东药科大学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30</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2018GZQN58</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基于协同视角的城市建设项目进度管理创新研究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薛维锐</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31</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2017GZMZQN20</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自媒体时代，高校思想政治教育方法创新研究——基于大学生网络自组织视域</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黄科</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32</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2017GZQN45</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国家中心城市背景下：广州体育旅游与乡村旅游融合发展研究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陈昌</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33</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2018GZMZQN20</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社会网络视域下高校社会主义核心价值观传播机制研究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汪竣</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34</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2018GZQN52</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城镇化过程中广州市农民工地方依恋机制研究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谭红娟</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35</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2018GZMZQN01</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华人移民媒介中的广州形象与认同变迁研究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曹小杰</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2018GZQN19</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基于国外在线旅游网站和旅游博客内容的广州目的地形象研究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龚金红</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37</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2018GZQN20</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绿色低碳导向下的广州城市住区交通规划设计研究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冯悦</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38</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2018GZMZQN05</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建国70周年广东区域协调发展研究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熊冠星</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39</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2018GZMZQN06</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马克思主义历史哲学的生成逻辑与当代价值</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余晓玲</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40</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2018GZQN15</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华南地区新石器时代中晚期农业探究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刘焕</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41</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2018GZMZQN03</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大学生社会主义核心价值观实践养成评价体系研究一一基于广州高校的实证研究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马钰滢</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42</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2018GZQN13</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新时代广州市高校知识传承与创新研究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曹志鹏</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292" w:type="pct"/>
            <w:noWrap w:val="0"/>
            <w:vAlign w:val="center"/>
          </w:tcPr>
          <w:p>
            <w:pPr>
              <w:keepNext w:val="0"/>
              <w:keepLines w:val="0"/>
              <w:widowControl/>
              <w:suppressLineNumbers w:val="0"/>
              <w:jc w:val="center"/>
              <w:textAlignment w:val="center"/>
              <w:rPr>
                <w:rFonts w:hint="eastAsia" w:ascii="宋体" w:hAnsi="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43</w:t>
            </w:r>
          </w:p>
        </w:tc>
        <w:tc>
          <w:tcPr>
            <w:tcW w:w="933"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2018GZMZQN16</w:t>
            </w:r>
          </w:p>
        </w:tc>
        <w:tc>
          <w:tcPr>
            <w:tcW w:w="176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习近平社会空间正义思想研究</w:t>
            </w:r>
          </w:p>
        </w:tc>
        <w:tc>
          <w:tcPr>
            <w:tcW w:w="5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敖叶湘琼</w:t>
            </w:r>
          </w:p>
        </w:tc>
        <w:tc>
          <w:tcPr>
            <w:tcW w:w="83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仲恺农业工程学院</w:t>
            </w:r>
          </w:p>
        </w:tc>
        <w:tc>
          <w:tcPr>
            <w:tcW w:w="58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Pr>
        <w:ind w:firstLine="640" w:firstLineChars="200"/>
        <w:rPr>
          <w:rFonts w:ascii="黑体" w:hAnsi="黑体" w:eastAsia="黑体"/>
          <w:bCs/>
          <w:sz w:val="32"/>
          <w:szCs w:val="32"/>
        </w:rPr>
      </w:pPr>
      <w:r>
        <w:rPr>
          <w:rFonts w:hint="eastAsia" w:ascii="黑体" w:hAnsi="黑体" w:eastAsia="黑体"/>
          <w:bCs/>
          <w:sz w:val="32"/>
          <w:szCs w:val="32"/>
        </w:rPr>
        <w:t>四、羊城青年学人项目结项名单</w:t>
      </w:r>
    </w:p>
    <w:tbl>
      <w:tblPr>
        <w:tblStyle w:val="7"/>
        <w:tblW w:w="8934" w:type="dxa"/>
        <w:tblInd w:w="-2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684"/>
        <w:gridCol w:w="3149"/>
        <w:gridCol w:w="1025"/>
        <w:gridCol w:w="1516"/>
        <w:gridCol w:w="10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序号</w:t>
            </w:r>
          </w:p>
        </w:tc>
        <w:tc>
          <w:tcPr>
            <w:tcW w:w="1684" w:type="dxa"/>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课题编号</w:t>
            </w:r>
          </w:p>
        </w:tc>
        <w:tc>
          <w:tcPr>
            <w:tcW w:w="3149" w:type="dxa"/>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课题名称</w:t>
            </w:r>
          </w:p>
        </w:tc>
        <w:tc>
          <w:tcPr>
            <w:tcW w:w="1025" w:type="dxa"/>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负责人</w:t>
            </w:r>
          </w:p>
        </w:tc>
        <w:tc>
          <w:tcPr>
            <w:tcW w:w="1516" w:type="dxa"/>
            <w:noWrap w:val="0"/>
            <w:vAlign w:val="center"/>
          </w:tcPr>
          <w:p>
            <w:pPr>
              <w:widowControl/>
              <w:spacing w:line="0" w:lineRule="atLeast"/>
              <w:contextualSpacing/>
              <w:jc w:val="center"/>
              <w:rPr>
                <w:rFonts w:cs="宋体"/>
                <w:b/>
                <w:bCs/>
                <w:color w:val="000000"/>
                <w:kern w:val="0"/>
                <w:sz w:val="22"/>
              </w:rPr>
            </w:pPr>
            <w:r>
              <w:rPr>
                <w:rFonts w:hint="eastAsia" w:cs="宋体"/>
                <w:b/>
                <w:bCs/>
                <w:color w:val="000000"/>
                <w:kern w:val="0"/>
                <w:sz w:val="22"/>
              </w:rPr>
              <w:t>单位</w:t>
            </w:r>
          </w:p>
        </w:tc>
        <w:tc>
          <w:tcPr>
            <w:tcW w:w="1058" w:type="dxa"/>
            <w:noWrap w:val="0"/>
            <w:vAlign w:val="center"/>
          </w:tcPr>
          <w:p>
            <w:pPr>
              <w:widowControl/>
              <w:spacing w:line="0" w:lineRule="atLeast"/>
              <w:contextualSpacing/>
              <w:jc w:val="center"/>
              <w:rPr>
                <w:rFonts w:hint="eastAsia" w:cs="宋体"/>
                <w:b/>
                <w:bCs/>
                <w:color w:val="000000"/>
                <w:kern w:val="0"/>
                <w:sz w:val="22"/>
              </w:rPr>
            </w:pPr>
            <w:r>
              <w:rPr>
                <w:rFonts w:hint="eastAsia" w:cs="宋体"/>
                <w:b/>
                <w:bCs/>
                <w:color w:val="000000"/>
                <w:kern w:val="0"/>
                <w:sz w:val="22"/>
              </w:rPr>
              <w:t>评审</w:t>
            </w:r>
          </w:p>
          <w:p>
            <w:pPr>
              <w:widowControl/>
              <w:spacing w:line="0" w:lineRule="atLeast"/>
              <w:contextualSpacing/>
              <w:jc w:val="center"/>
              <w:rPr>
                <w:rFonts w:cs="宋体"/>
                <w:b/>
                <w:bCs/>
                <w:color w:val="000000"/>
                <w:kern w:val="0"/>
                <w:sz w:val="22"/>
              </w:rPr>
            </w:pPr>
            <w:r>
              <w:rPr>
                <w:rFonts w:hint="eastAsia" w:cs="宋体"/>
                <w:b/>
                <w:bCs/>
                <w:color w:val="000000"/>
                <w:kern w:val="0"/>
                <w:sz w:val="22"/>
              </w:rPr>
              <w:t>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17QNXR07</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缴费确定型养老基金资产配置问题研究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张玲</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18QNXR09</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习近平“家国情怀”思想研究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张倩</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18QNXR11</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粤语语气助词的语音分析</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陆爱桃</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18QNXR03</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在穗港澳青年国家认同研究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林仲轩</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18QNXR04</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全球城市建设中广州市外籍居民生活圈与社会治理研究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谭一洺</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6</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2019GZQN43</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老船木在环境设计中的再利用研究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刘欢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广东白云学院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7</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18QNXR18</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高新科技资质认定的政府偏好、企业迎合行为与政策效应</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陈修德</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18QNXR21</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以数字经济引领广州高质量发展的对策研究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王永健</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bCs/>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9</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2019GZQN38</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区域金融风险防范化解机制创新研究——以广州市为例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郭方</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10</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2019GZQN26</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新时代广州市社会组织能力建设与社会治理创新研究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徐盈艳</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11</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17QNXR14</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组织合法性视角下社会组织公信力建设研究——基于广州市的实证研究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彭灵灵</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广东药科大学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12</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18QNXR33</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新时代广州市非物质文化遗产儿童传承机制研究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吕慧敏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13</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2020GZQN08</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广州市监管沙盒制度构建研究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14</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2021GZQN08</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广州加快人工智能与数字经济试验区开发建设研究：数据不正当竞争法律问题实证研究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蔡川子</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15</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18QNXR27</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粤港澳大湾区背景下广州城市发展的战略思路与对策研究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张小娟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16</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2019GZQN22</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老城市新活力导向下的岭南醒狮VR动漫数字化创新研究与文化传承</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李雷鸣</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17</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18QNXR14</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广州在粤港澳大湾区协调发展中的作用及策略研究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皮亚彬</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2019GZQN48</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广州地方高校的教育经费投入及财政保障体系改革路径研究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张紫薇</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中共广州市委党校</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19</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2019GZQN02</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近代中外画报的粤港澳城市书写研究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彭敏哲</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中国海洋大学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20</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2019GZQN03</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“智慧新警务”模式下广州治安风险防控的组织结构研究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汪广龙</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中国海洋大学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18QNXR17</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建构网络文艺的广州形象</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陈可唯</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22</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2019GZQN50</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粤港澳大湾区旅游产业转型升级发展路径研究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郭璇瑄</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广东技术师范大学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23</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18QNXR32</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流空间视角下粤港澳大湾区的空间结构及其影响机制研究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戴荔珠</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24</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18QNXR34</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基于用户感知的共享单车企业社会交互营销策略研究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王东</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25</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18QNXR06</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全球城市建设背景下广州市城市再开发的空间效应研究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黄幸</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26</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18QNXR07</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AI大数据驱动的广州制造业品牌国际传播策略研究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罗韵娟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27</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18QNXR23</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“三旧”改造政府利益放度对其实施绩效的影响机制研究——以广州市为例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刘光盛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28</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18QNXR25</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大数据驱动下广州市医保治理精细化的机制创新与实现路径研究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马颖颖</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29</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18QNXR26</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制度与实践：粤港澳大湾区跨境调解合作研究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30</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18QNXR12</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广州晚清民国艺术设计教育研究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邱景源</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31</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17QNXR37</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唐宋时期岭南道教与文学研究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张振谦</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32</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17QNXR39</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广州城市文化建设中的纪录片发展战略研究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郑伟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33</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18QNXR37</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广州援外医疗法律体系建设研究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李娜玲</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34</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17QNXR20</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广州特大型城市区域环境综合整治长效机制研究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刘锦</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中共广州市委党校</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502"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35</w:t>
            </w:r>
          </w:p>
        </w:tc>
        <w:tc>
          <w:tcPr>
            <w:tcW w:w="168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2019GZQN49</w:t>
            </w:r>
          </w:p>
        </w:tc>
        <w:tc>
          <w:tcPr>
            <w:tcW w:w="31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广州构建高水平的科技创新体系研究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帅文明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中共广州市委党校</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Pr>
        <w:ind w:firstLine="470" w:firstLineChars="147"/>
        <w:jc w:val="left"/>
        <w:rPr>
          <w:rFonts w:hint="eastAsia" w:ascii="华文中宋" w:hAnsi="华文中宋" w:eastAsia="华文中宋"/>
          <w:b/>
          <w:sz w:val="28"/>
          <w:szCs w:val="32"/>
        </w:rPr>
      </w:pPr>
      <w:r>
        <w:rPr>
          <w:rFonts w:hint="eastAsia" w:ascii="黑体" w:hAnsi="黑体" w:eastAsia="黑体"/>
          <w:bCs/>
          <w:sz w:val="32"/>
          <w:szCs w:val="32"/>
        </w:rPr>
        <w:t>五、共建课题结项名单</w:t>
      </w:r>
    </w:p>
    <w:tbl>
      <w:tblPr>
        <w:tblStyle w:val="7"/>
        <w:tblW w:w="8923"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655"/>
        <w:gridCol w:w="3153"/>
        <w:gridCol w:w="1025"/>
        <w:gridCol w:w="151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widowControl/>
              <w:spacing w:line="0" w:lineRule="atLeast"/>
              <w:contextualSpacing/>
              <w:jc w:val="center"/>
              <w:rPr>
                <w:rFonts w:hint="eastAsia" w:ascii="华文中宋" w:hAnsi="华文中宋" w:eastAsia="华文中宋"/>
                <w:b/>
                <w:sz w:val="28"/>
                <w:szCs w:val="32"/>
              </w:rPr>
            </w:pPr>
            <w:r>
              <w:rPr>
                <w:rFonts w:hint="eastAsia" w:cs="宋体"/>
                <w:b/>
                <w:bCs/>
                <w:color w:val="000000"/>
                <w:kern w:val="0"/>
                <w:sz w:val="22"/>
              </w:rPr>
              <w:t>序号</w:t>
            </w:r>
          </w:p>
        </w:tc>
        <w:tc>
          <w:tcPr>
            <w:tcW w:w="1655" w:type="dxa"/>
            <w:noWrap w:val="0"/>
            <w:vAlign w:val="center"/>
          </w:tcPr>
          <w:p>
            <w:pPr>
              <w:widowControl/>
              <w:spacing w:line="0" w:lineRule="atLeast"/>
              <w:contextualSpacing/>
              <w:jc w:val="center"/>
              <w:rPr>
                <w:rFonts w:hint="eastAsia" w:ascii="华文中宋" w:hAnsi="华文中宋" w:eastAsia="华文中宋"/>
                <w:b/>
                <w:sz w:val="28"/>
                <w:szCs w:val="32"/>
              </w:rPr>
            </w:pPr>
            <w:r>
              <w:rPr>
                <w:rFonts w:hint="eastAsia" w:cs="宋体"/>
                <w:b/>
                <w:bCs/>
                <w:color w:val="000000"/>
                <w:kern w:val="0"/>
                <w:sz w:val="22"/>
              </w:rPr>
              <w:t>课题编号</w:t>
            </w:r>
          </w:p>
        </w:tc>
        <w:tc>
          <w:tcPr>
            <w:tcW w:w="3153" w:type="dxa"/>
            <w:noWrap w:val="0"/>
            <w:vAlign w:val="center"/>
          </w:tcPr>
          <w:p>
            <w:pPr>
              <w:widowControl/>
              <w:spacing w:line="0" w:lineRule="atLeast"/>
              <w:contextualSpacing/>
              <w:jc w:val="center"/>
              <w:rPr>
                <w:rFonts w:hint="eastAsia" w:ascii="华文中宋" w:hAnsi="华文中宋" w:eastAsia="华文中宋"/>
                <w:b/>
                <w:sz w:val="28"/>
                <w:szCs w:val="32"/>
              </w:rPr>
            </w:pPr>
            <w:r>
              <w:rPr>
                <w:rFonts w:hint="eastAsia" w:cs="宋体"/>
                <w:b/>
                <w:bCs/>
                <w:color w:val="000000"/>
                <w:kern w:val="0"/>
                <w:sz w:val="22"/>
              </w:rPr>
              <w:t>课题名称</w:t>
            </w:r>
          </w:p>
        </w:tc>
        <w:tc>
          <w:tcPr>
            <w:tcW w:w="1025" w:type="dxa"/>
            <w:noWrap w:val="0"/>
            <w:vAlign w:val="center"/>
          </w:tcPr>
          <w:p>
            <w:pPr>
              <w:widowControl/>
              <w:spacing w:line="0" w:lineRule="atLeast"/>
              <w:contextualSpacing/>
              <w:jc w:val="center"/>
              <w:rPr>
                <w:rFonts w:hint="eastAsia" w:ascii="华文中宋" w:hAnsi="华文中宋" w:eastAsia="华文中宋"/>
                <w:b/>
                <w:sz w:val="28"/>
                <w:szCs w:val="32"/>
              </w:rPr>
            </w:pPr>
            <w:r>
              <w:rPr>
                <w:rFonts w:hint="eastAsia" w:cs="宋体"/>
                <w:b/>
                <w:bCs/>
                <w:color w:val="000000"/>
                <w:kern w:val="0"/>
                <w:sz w:val="22"/>
              </w:rPr>
              <w:t>负责人</w:t>
            </w:r>
          </w:p>
        </w:tc>
        <w:tc>
          <w:tcPr>
            <w:tcW w:w="1516" w:type="dxa"/>
            <w:noWrap w:val="0"/>
            <w:vAlign w:val="center"/>
          </w:tcPr>
          <w:p>
            <w:pPr>
              <w:widowControl/>
              <w:spacing w:line="0" w:lineRule="atLeast"/>
              <w:contextualSpacing/>
              <w:jc w:val="center"/>
              <w:rPr>
                <w:rFonts w:hint="eastAsia" w:ascii="华文中宋" w:hAnsi="华文中宋" w:eastAsia="华文中宋"/>
                <w:b/>
                <w:sz w:val="28"/>
                <w:szCs w:val="32"/>
              </w:rPr>
            </w:pPr>
            <w:r>
              <w:rPr>
                <w:rFonts w:hint="eastAsia" w:cs="宋体"/>
                <w:b/>
                <w:bCs/>
                <w:color w:val="000000"/>
                <w:kern w:val="0"/>
                <w:sz w:val="22"/>
              </w:rPr>
              <w:t>单位</w:t>
            </w:r>
          </w:p>
        </w:tc>
        <w:tc>
          <w:tcPr>
            <w:tcW w:w="1058" w:type="dxa"/>
            <w:noWrap w:val="0"/>
            <w:vAlign w:val="center"/>
          </w:tcPr>
          <w:p>
            <w:pPr>
              <w:widowControl/>
              <w:spacing w:line="0" w:lineRule="atLeast"/>
              <w:contextualSpacing/>
              <w:jc w:val="center"/>
              <w:rPr>
                <w:rFonts w:hint="eastAsia" w:cs="宋体"/>
                <w:b/>
                <w:bCs/>
                <w:color w:val="000000"/>
                <w:kern w:val="0"/>
                <w:sz w:val="22"/>
              </w:rPr>
            </w:pPr>
            <w:r>
              <w:rPr>
                <w:rFonts w:hint="eastAsia" w:cs="宋体"/>
                <w:b/>
                <w:bCs/>
                <w:color w:val="000000"/>
                <w:kern w:val="0"/>
                <w:sz w:val="22"/>
              </w:rPr>
              <w:t>评审</w:t>
            </w:r>
          </w:p>
          <w:p>
            <w:pPr>
              <w:widowControl/>
              <w:spacing w:line="0" w:lineRule="atLeast"/>
              <w:contextualSpacing/>
              <w:jc w:val="center"/>
              <w:rPr>
                <w:rFonts w:hint="eastAsia" w:ascii="华文中宋" w:hAnsi="华文中宋" w:eastAsia="华文中宋"/>
                <w:b/>
                <w:sz w:val="28"/>
                <w:szCs w:val="32"/>
              </w:rPr>
            </w:pPr>
            <w:r>
              <w:rPr>
                <w:rFonts w:hint="eastAsia" w:cs="宋体"/>
                <w:b/>
                <w:bCs/>
                <w:color w:val="000000"/>
                <w:kern w:val="0"/>
                <w:sz w:val="22"/>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sz w:val="20"/>
                <w:szCs w:val="20"/>
              </w:rPr>
            </w:pPr>
            <w:r>
              <w:rPr>
                <w:rFonts w:hint="eastAsia" w:ascii="宋体" w:hAnsi="宋体" w:eastAsia="宋体" w:cs="宋体"/>
                <w:i w:val="0"/>
                <w:color w:val="000000"/>
                <w:kern w:val="0"/>
                <w:sz w:val="20"/>
                <w:szCs w:val="20"/>
                <w:u w:val="none"/>
                <w:lang w:val="en-US" w:eastAsia="zh-CN" w:bidi="ar"/>
              </w:rPr>
              <w:t>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2018GZGJ53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加班、自主权与效用：兼论工时约束的存在性</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罗连化</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广东财经大学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sz w:val="20"/>
                <w:szCs w:val="20"/>
              </w:rPr>
            </w:pPr>
            <w:r>
              <w:rPr>
                <w:rFonts w:hint="eastAsia" w:ascii="宋体" w:hAnsi="宋体" w:eastAsia="宋体" w:cs="宋体"/>
                <w:i w:val="0"/>
                <w:color w:val="000000"/>
                <w:kern w:val="0"/>
                <w:sz w:val="20"/>
                <w:szCs w:val="20"/>
                <w:u w:val="none"/>
                <w:lang w:val="en-US" w:eastAsia="zh-CN" w:bidi="ar"/>
              </w:rPr>
              <w:t>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2018GZGJ57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粤港澳大湾区港口整合提升研究—基于合作博弈视角</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王选飞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广东财经大学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sz w:val="20"/>
                <w:szCs w:val="20"/>
              </w:rPr>
            </w:pPr>
            <w:r>
              <w:rPr>
                <w:rFonts w:hint="eastAsia" w:ascii="宋体" w:hAnsi="宋体" w:eastAsia="宋体" w:cs="宋体"/>
                <w:i w:val="0"/>
                <w:color w:val="000000"/>
                <w:kern w:val="0"/>
                <w:sz w:val="20"/>
                <w:szCs w:val="20"/>
                <w:u w:val="none"/>
                <w:lang w:val="en-US" w:eastAsia="zh-CN" w:bidi="ar"/>
              </w:rPr>
              <w:t>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18QNXR63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广州宅基地“三权分置”改革的法制路径研究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曹益凤</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广东外语外贸大学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sz w:val="20"/>
                <w:szCs w:val="20"/>
              </w:rPr>
            </w:pPr>
            <w:r>
              <w:rPr>
                <w:rFonts w:hint="eastAsia" w:ascii="宋体" w:hAnsi="宋体" w:eastAsia="宋体" w:cs="宋体"/>
                <w:i w:val="0"/>
                <w:color w:val="000000"/>
                <w:kern w:val="0"/>
                <w:sz w:val="20"/>
                <w:szCs w:val="20"/>
                <w:u w:val="none"/>
                <w:lang w:val="en-US" w:eastAsia="zh-CN" w:bidi="ar"/>
              </w:rPr>
              <w:t>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2019GZGJ238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大数据时代背景下创新高校心理健康自服务系统运行模式与发展路径的研究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沈洪炎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sz w:val="20"/>
                <w:szCs w:val="20"/>
              </w:rPr>
            </w:pPr>
            <w:r>
              <w:rPr>
                <w:rFonts w:hint="eastAsia" w:ascii="宋体" w:hAnsi="宋体" w:eastAsia="宋体" w:cs="宋体"/>
                <w:i w:val="0"/>
                <w:color w:val="000000"/>
                <w:kern w:val="0"/>
                <w:sz w:val="20"/>
                <w:szCs w:val="20"/>
                <w:u w:val="none"/>
                <w:lang w:val="en-US" w:eastAsia="zh-CN" w:bidi="ar"/>
              </w:rPr>
              <w:t>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2020GZGJ197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岭南文化视野下的近代粤港澳大湾区雏型——近代岭南中英文报刊中的粤港澳交流史料整理及研究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龙其林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sz w:val="20"/>
                <w:szCs w:val="20"/>
              </w:rPr>
            </w:pPr>
            <w:r>
              <w:rPr>
                <w:rFonts w:hint="eastAsia" w:ascii="宋体" w:hAnsi="宋体" w:eastAsia="宋体" w:cs="宋体"/>
                <w:i w:val="0"/>
                <w:color w:val="000000"/>
                <w:kern w:val="0"/>
                <w:sz w:val="20"/>
                <w:szCs w:val="20"/>
                <w:u w:val="none"/>
                <w:lang w:val="en-US" w:eastAsia="zh-CN" w:bidi="ar"/>
              </w:rPr>
              <w:t>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2018GZMZGJ28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电影与新时代广州城市形象国际传播研究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邹小华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广州市社会科学院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2020GZGJ319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基于POI大数据的广州商业空间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布局演化特征及影响因素研究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张小英</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广州市社会科学院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2020GZGJ321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广州提升现代化、国际化营商坏境研究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刘帷韬</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广州市社会科学院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2021GZGJ32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要素市场化改革视域下广州数据要素交易平台建设的总体思路与实施方略研究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刘晓晗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广州市社会科学院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2018GZGJ203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优秀家风家训文化基因融入高职院校思政课途径研究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陈爱丽</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广州卫生职业技术学院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2017SKJD01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广州市长期护理保险制度实施现状及发展对策研究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韩丹</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广州医科大学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18QNXR52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习近平新时代中国特色社会主义思想中的群众观点研究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李贺楼</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18QNXR53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粤港澳大湾区战略下广州城市品牌国际传播力提升对策研究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佘世红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2019GZGJ24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广州市政府中英文网站与形象传播的多模态研究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刘喜琴</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2020GZGJ32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基于内部视角的湾区建筑空间整体性设计研究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谢冠一</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2019GZGJ41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广州市乡村幼儿园教师专业成长支持机制研究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黄玮琳</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2018GZMZGJ27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习近平新时代中国特色社会主义经济思想体系研究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陈剑</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广州市社会科学院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2018GZGJ205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《伦明藏书思想研究》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张诗阳</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广州图书馆</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2018GZGJ02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广州推动互联网、大数据、人工智能与实体经济深度融合研究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陈小平</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2018GZGJ12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珠三角地区体育公共服务非政府组织供给的理论与实证研究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万发达</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2019GZGJ25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21世纪海上丝绸之路视域下的广府文化外译与传播研究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朱献珑</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2020GZGJ09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广州市实现健康老龄化及其保障机制和优化对策研究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阳义南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2020GZGJ29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人类命运共同体视域下的国际难民文学研究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李昀</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2018GZGJ165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推动粤港澳大湾区发展的协同创新机制研究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杨勇军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广东白云学院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2019GZGJ214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基于复元理念的精神康复社会工作介入成效研究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马焕英</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广东白云学院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2018GZGJ50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风险投资对广东省制造企业技术创新的影响机理及激励机制研究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杨亭亭</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广东财经大学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2018GZGJ51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公共租赁住房保障补贴模式效率研究：基于交易费用的理论分析及广州市的政策选择</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邹方斌</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广东财经大学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2018GZGJ52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广州企业出口质量与地区质量声誉关系及转型升级启示</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邓路</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广东财经大学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2018GZGJ56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人民对美好生活的向往与构建中国特色社会主义民生体系研究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高清林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广东财经大学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2018GZGJ127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21世纪海上丝绸之路与潮汕侨乡非物质文化遗产“潮绣”的保护和传承研究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黄杉杉</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广东工程职业技术学院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2018GZMZGJ20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社会主义核心价值观入法入规研究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刘志永</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广东工程职业技术学院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18QNXR59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广州科技金融发展的对策研究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黄灿</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18QNXR60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纪录片中的粤港澳城市形象建构与传播研究—广州篇</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李淑娟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18QNXR61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粤港澳大湾区建设背景下在穗香港居民与本地居民的居住融合研究——以祈福新邨和顺德碧桂园为例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廖开怀</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2018GZGJ43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广州培育若干世界级先进制造业集群研究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梁永福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2018GZGJ44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广州十三行与岭南服饰文化变迁研究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陈子豪</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2018GZGJ45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基于文本大数据的广州城市国际形象构建研究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任朝旺</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2018GZGJ48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习近平新时代中国特色社会主义文化外交思想的理论阐释和实践运用研究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招春袖</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39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2019GZGJ79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粤港澳大湾区时尚设计协同共融发展研究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朱广舟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2019GZGJ84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鲁迅“鉴”的翻译思想对广州市对外文化交流的启示</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彭勇穗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2020GZGJ107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基于创新价值链的广州市新型研发机构分类评估研究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罗嘉文</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广东工业大学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2019GZGJ169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粤港澳大湾区产业协同集聚与广州核心功能定位研究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宋玲</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广东机电职业技术学院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2019GZGJ188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广东省支持实施乡村振兴战略的财政体制机制研究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朱春娟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广东建设职业技术学院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2017GZGJ53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自媒体时代大学生休闲教育机制研究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李先启</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2018GZGJ78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低碳生活语境下的广州市绿道体育发展研究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宋文利</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2018GZGJ81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南沙自由贸易港区离岸贸易发展能力评价、模式及政策机制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张海霞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2018GZGJ82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社会化媒体环境下广州城市文化空间的符号生产与重构</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聂莉</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2018GZGJ84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自媒体时代网络民粹主义的影响与对策研究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涂瀛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2018GZMZGJ16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习近平人类命运共同体思想视域下的城市社区治理研究——基于个体化进程的中国社会研究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谢爱华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2019GZGJ109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“立德树人”根本任务下高校公共艺术教育体制机制优化研究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余锦秀</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2019GZGJ117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调节定向影响金融处置效应的心理机制研究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胡谏萍</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2019GZGJ121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新时代加强农村基层党组织建设带动乡村治理研究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张春华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2019GZGJ122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新时代广州基层党组织社会动员能力建设研究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梁振聪</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2020GZGJ160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大数据背景下广州政府信息资源配置与服务模式创新研究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洪雪峰</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2020GZGJ168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审美语境变迁视域下的近代岭南建筑屋脊陶塑装饰研究（——以广府地区为例）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姜陈</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广东金融学院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2018GZMZGJ22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马克思世界历史理论与中国道路自信</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李浩</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广东岭南职业技术学院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2019GZGJ161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羊城工匠传播与培育路径研究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赵玲霞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广东南华工商职业学院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2019GZGJ162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粤港澳大湾区图书馆文献资源共享模式研究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陈桂玲</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广东南华工商职业学院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2020GZGJ248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粤港澳大湾区工会组织协同发展机制研究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朱志惠</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广东南华工商职业学院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2017GZGJ63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当代设计语境下中国传统年文化视觉符号的美学研究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周大鹏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广东轻工职业技术学院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2019GZGJ150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混合现实技术（mixed reality）下粤港澳大湾区广府非物质文化遗产的数字化传承研究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付尧</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广东省外语艺术职业学院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18QNXR65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广州与“21世纪海上丝绸之路”沿线国家的经贸合作机制研究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谭娜</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广东外语外贸大学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2018GZGJ129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社会空间分异视域下广州市老年人受骗时空分布、机理与防控研究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张春霞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广州番禺职业技术学院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2018GZGJ194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供给侧结构性改革背景下大数据驱动的面向消费者供应链转型研究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盛鑫</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广州番禺职业技术学院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2018GZGJ198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粤港澳大湾区企业跨制度和多重市场联动的商业模式创新研究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吴隽</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广州番禺职业技术学院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18QNXR76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粤港澳大湾区贸易便利化研究——以广州（南沙）自贸区为例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徐颖</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广州工程技术职业学院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2018GZGJ87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广州在校大学生“双创”协同信息行为机理及促进对策研究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李秋艳</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广州航海学院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2018GZGJ170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习近平新时代社会主要矛盾理论及其意义研究——基于广州市经济发展数据的分析</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罗朝远</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广州华商学院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2020GZGJ211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移动短视频的商业模式研究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钟瑞贞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广州华商学院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2016GZGJ95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跨界融合与推进广州国际媒体港建设路径研究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广州科技职业技术大学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2018GZGJ171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广州推进老龄服务事业和产业发展研究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周旭</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广州理工学院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2018GZGJ151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从化地域传统视觉符号“采集”与其在文创产业中的应用研究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陈艳梅</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广州南方学院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2018GZGJ153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基于“移动互联网+”视角的广州市零售业商业模式创新路径研究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高凯</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广州南方学院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2018GZGJ154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新监察权的性质与司法监督—基于《监察法（草案）》文本的分析</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刘明玉</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广州南方学院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2020GZJD03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广州直播电商业态发展与对策建议</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陈彦博</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广州市社会科学院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2021GZGJ31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COVID-19疫情常态化下粤港澳大湾区汽车产业全球价值链升级路径与对策研究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巫细波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广州市社会科学院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2018GZGJ202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广州推行医养护一体化签约服务居家养老模式可行性调查研究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岑慧红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广州卫生职业技术学院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2018GZGJ150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基于多层次网络分析的广州科技协同创新网络形成及演化机制研究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李晶</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2019GZGJ220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大湾区创新保障机制研究：创业与就业视域下的创新思维教育</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许冬梅</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2019GZGJ221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广州市生态文明建设与经济高质量发展耦合协调研究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万媛媛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广州新华学院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2018GZGJ192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神经增强技术的伦理问题与对策研究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叶岸滔</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广州医科大学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2018GZGJ62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“网贷”背景下大学生权益受损及救济机制研究—以“指路人”案切入</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王玉学</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广州中医药大学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2018GZGJ65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近代广州慈善机构医疗救助的运作机制研究（1840-1949）</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李计筹</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广州中医药大学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2018GZGJ66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岭南中医药知识产权文化建设路径研究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刘子志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广州中医药大学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2018GZGJ01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多维邻近性下粤港澳大湾区城市群协同创新网络时空演化特征与治理对策研究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陈欣</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2018GZGJ03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广州推进互联网、大数据、人工智能和实体经济深度融合研究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李成安</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2018GZGJ09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提升“留学广州”吸引力推动城市国际化的路径研究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谢笑珍</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2019GZGJ04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讲好广州故事：提升广州城市品牌的故事营销策略研究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张文敏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2019GZGJ15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智慧物流场景下无人驾驶车交互设计研究与实践</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冉蓓</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2020GZGJ16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基于空间句法分析的岭南地区骑楼街区空间形态及其文化动因比较研究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凌晓红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18QNXR54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面向粤港澳大湾区的广州智慧学习体系建设研究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胡小勇</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2018GZGJ21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广州市城中村儿童的学校适应与教育支持研究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黄黎明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2018GZGJ24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基于互联网移动平台的“健康广州”文化品牌创新战略研究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2018GZGJ26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新时代粤港澳大湾区协同发展互利合作机制研究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张俊杰</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2018GZGJ27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信息行为分析视角的营造清朗暗社交社群空间策略研究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何晓兵</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2018GZGJ28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一带一路沿线国家少儿汉语教材调查及少儿汉语教材评估标准制定研究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王燕飞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2018GZMZGJ06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大学生网络社群的社会主义意识形态传播研究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赵頔</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2019GZGJ39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学生资助转型对高校家庭经济困难大学生就业质量的影响研究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王庚</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华南师范大学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2018GZGJ61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习近平新时代思想下岭南文化创造性转化和创新性发展研究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黄瑶</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18QNXR50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习近平的生态辩证法思想研究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蓝强</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中共广东省委党校</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18QNXR81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绿色发展视角下粤港澳大湾区雾霾污染的区域治理机制与对策研究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东童童</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中共广东省委党校</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2018GZGJ204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粤港澳大湾区背景下广州地区产学研协同创新生态体系建设</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平思情</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中共广州市委党校</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2019GZGJ187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产业演进与广州市开放型经济新体制的构建研究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陆改红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广东开放大学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2017GZGJ38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专业合作社农产品供应链整合及广州实践研究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陈楚庭</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广东南华工商职业学院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2018GZGJ115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广州市新生代外来女工心理健康状况的调查研究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黄丹</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广东女子职业技术学院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2018GZGJ107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粤港澳大湾区文化认同与城市群协同创新机制研究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邓志虹</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广东轻工职业技术学院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2019GZGJ154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广州创新发展：驱动企业自主创新能力升级的财务指标评价体系研究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王翌</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广东轻工职业技术学院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2017-JD-01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广州城市品牌国际传播效果评估体系构建及国际调查</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乔飞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2017-JD-02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粤港澳大湾区国际形象建构与传播策略研究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万婧</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2017-JD-03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广州市与粤港澳大湾区文化创意产业协同发展研究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段莉</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18QNXR64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产业集群升级与区域持续发展；以广州为例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眭文娟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18QNXR73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基于批判性话语理论对广州立法听证会代表话语建构的研究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夏佳佳</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广东外语外贸大学南国商学院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2018GZGJ160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广州空港经济区产业发展路径研究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杨励</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广东外语外贸大学南国商学院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2018GZGJ161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高质量发展下的公允价格计量研究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陈金林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广东外语外贸大学南国商学院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2019GZGJ206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文化自信视阈下主题推进与主位推进转换研究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许军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广东外语外贸大学南国商学院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2020GZGJ281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广州夜间经济2019新政下产业发展趋势与消费行为研究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胡林</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广东外语外贸大学南国商学院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2019GZGJ200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新时代广东高校强特色提升策略研究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黄仁刚</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广州工商学院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2018GZGJ166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广州建设自由贸易港可行性研究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黄丽霞</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广州华商学院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2018GZGJ168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基于模糊数学理论的民营企业经济景气监测预警模型研究——以广州市为例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郭连红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广州华商学院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2018GZGJ152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后人文主义视角的中国当代生态艺术与书写</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方婉祯</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广州南方学院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18QNXR78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广州跨境电商金融体系的构建研究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吴梅</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广州轻工职业技术学院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2019GZGJ258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国际居民评估工具InterRAI在广州市社区居家老年人评估中的应用研究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广州卫生职业技术学院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2017GZMZGJ01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岭南文化融入大学生思想政治教育研究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李旭辉</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2018GZMZGJ01</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基于“00后”大学生特点的社会主义核心价值观实践养成研究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黄艳华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2018GZMZGJ02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岭南女性文化的再书写与传播</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刘小妮</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2019GZGJ27</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思想政治教育时间及其价值研究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孙飞争</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华南理工大学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2018GZGJ30</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多功能农业理论下广州乡村振兴路径及机制研究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赵建华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广州市生态文明体制改革背景下的河长制法制建设</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集体租赁住房监管的REITs模式与体系研究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刘光盛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健康广州视角下的政府卫生投入绩效研究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方敏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南沙自贸港离岸金融法律监管制度研究——以南沙自贸港与粤港澳大湾区金融对接为视点</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伍艳</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生态视域下的英语教材评价研究——以广州小学英语教材为例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苏君</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133</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粤港澳大湾区公共服务供给中社会组织协同发展研究：目标、评价及路径</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刘志明</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134</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2018GZGJ39</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治理语境下广州市老年人公共体育服务供需格局优化研究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符巍</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135</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2019GZGJ55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习近平新时代人才观研究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袁尔纯</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华南农业大学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136</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2017GZMZGJ02</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运用新媒体新技术创新思想政治教育价值传播研究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苏运生</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137</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2017GZMZGJ03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新媒体促进广东高校思想政治教育工作研究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王勇</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138</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2018GZGJ13</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“二孩生育高峰”背景下公立医院妇产医疗服务效率评价及其应用研究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周大鹏</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2018GZGJ16</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基层官员政策执行力及其优化机制：以广州市低保政策为例</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李琴</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2018GZMZGJ05</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历史唯物主义视域下集体主义的虚无化批判</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任彩红</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141</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2018GZMZGJ18</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以社会主义核心价值观引领乡村文化振兴的理论与实践研究—基于广东省的考察与分析</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王桂花</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仲恺农业工程学院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142</w:t>
            </w:r>
          </w:p>
        </w:tc>
        <w:tc>
          <w:tcPr>
            <w:tcW w:w="1655"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2019GZGJ124</w:t>
            </w:r>
          </w:p>
        </w:tc>
        <w:tc>
          <w:tcPr>
            <w:tcW w:w="315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精准扶贫视域下广州农产品地理标志扶贫对策研究</w:t>
            </w:r>
          </w:p>
        </w:tc>
        <w:tc>
          <w:tcPr>
            <w:tcW w:w="102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梁天宝</w:t>
            </w:r>
          </w:p>
        </w:tc>
        <w:tc>
          <w:tcPr>
            <w:tcW w:w="1516"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仲恺农业工程学院</w:t>
            </w:r>
          </w:p>
        </w:tc>
        <w:tc>
          <w:tcPr>
            <w:tcW w:w="105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Pr>
        <w:ind w:firstLine="470" w:firstLineChars="147"/>
        <w:jc w:val="left"/>
      </w:pPr>
    </w:p>
    <w:p>
      <w:pPr>
        <w:ind w:firstLine="294" w:firstLineChars="147"/>
        <w:jc w:val="left"/>
      </w:pPr>
      <w:bookmarkStart w:id="1" w:name="_GoBack"/>
      <w:bookmarkEnd w:id="1"/>
      <w:r>
        <w:rPr>
          <w:sz w:val="20"/>
          <w:szCs w:val="32"/>
        </w:rPr>
        <mc:AlternateContent>
          <mc:Choice Requires="wps">
            <w:drawing>
              <wp:anchor distT="0" distB="0" distL="114300" distR="114300" simplePos="0" relativeHeight="251662336" behindDoc="0" locked="0" layoutInCell="1" allowOverlap="1">
                <wp:simplePos x="0" y="0"/>
                <wp:positionH relativeFrom="column">
                  <wp:posOffset>-123190</wp:posOffset>
                </wp:positionH>
                <wp:positionV relativeFrom="margin">
                  <wp:posOffset>8411845</wp:posOffset>
                </wp:positionV>
                <wp:extent cx="5615940" cy="522605"/>
                <wp:effectExtent l="0" t="0" r="3810" b="0"/>
                <wp:wrapNone/>
                <wp:docPr id="5" name="文本框 17"/>
                <wp:cNvGraphicFramePr/>
                <a:graphic xmlns:a="http://schemas.openxmlformats.org/drawingml/2006/main">
                  <a:graphicData uri="http://schemas.microsoft.com/office/word/2010/wordprocessingShape">
                    <wps:wsp>
                      <wps:cNvSpPr txBox="true"/>
                      <wps:spPr>
                        <a:xfrm>
                          <a:off x="0" y="0"/>
                          <a:ext cx="5615940" cy="522605"/>
                        </a:xfrm>
                        <a:prstGeom prst="rect">
                          <a:avLst/>
                        </a:prstGeom>
                        <a:noFill/>
                        <a:ln w="9525">
                          <a:noFill/>
                        </a:ln>
                      </wps:spPr>
                      <wps:txbx>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wps:txbx>
                      <wps:bodyPr wrap="square" lIns="0" tIns="0" rIns="0" bIns="90000" upright="true">
                        <a:spAutoFit/>
                      </wps:bodyPr>
                    </wps:wsp>
                  </a:graphicData>
                </a:graphic>
              </wp:anchor>
            </w:drawing>
          </mc:Choice>
          <mc:Fallback>
            <w:pict>
              <v:shape id="文本框 17" o:spid="_x0000_s1026" o:spt="202" type="#_x0000_t202" style="position:absolute;left:0pt;margin-left:-9.7pt;margin-top:662.35pt;height:41.15pt;width:442.2pt;mso-position-vertical-relative:margin;z-index:251662336;mso-width-relative:page;mso-height-relative:page;" filled="f" stroked="f" coordsize="21600,21600" o:gfxdata="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Ly+Hl2wAAAA0BAAAP&#10;AAAAAAAAAAEAIAAAADgAAABkcnMvZG93bnJldi54bWxQSwECFAAUAAAACACHTuJAyqusg8YBAABg&#10;AwAADgAAAAAAAAABACAAAABAAQAAZHJzL2Uyb0RvYy54bWxQSwUGAAAAAAYABgBZAQAAeAUAAAAA&#10;">
                <v:fill on="f" focussize="0,0"/>
                <v:stroke on="f"/>
                <v:imagedata o:title=""/>
                <o:lock v:ext="edit" aspectratio="f"/>
                <v:textbox inset="0mm,0mm,0mm,2.5mm" style="mso-fit-shape-to-text:t;">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v:textbox>
              </v:shape>
            </w:pict>
          </mc:Fallback>
        </mc:AlternateConten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小标宋">
    <w:altName w:val="方正小标宋_GBK"/>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仿宋简体">
    <w:altName w:val="方正仿宋_GBK"/>
    <w:panose1 w:val="00000000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8764048"/>
      <w:docPartObj>
        <w:docPartGallery w:val="autotext"/>
      </w:docPartObj>
    </w:sdtPr>
    <w:sdtEndPr>
      <w:rPr>
        <w:sz w:val="28"/>
      </w:rPr>
    </w:sdtEndPr>
    <w:sdtContent>
      <w:p>
        <w:pPr>
          <w:pStyle w:val="5"/>
          <w:jc w:val="right"/>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1 -</w:t>
        </w:r>
        <w:r>
          <w:rPr>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6158588"/>
      <w:docPartObj>
        <w:docPartGallery w:val="autotext"/>
      </w:docPartObj>
    </w:sdtPr>
    <w:sdtEndPr>
      <w:rPr>
        <w:sz w:val="20"/>
      </w:rPr>
    </w:sdtEndPr>
    <w:sdtContent>
      <w:p>
        <w:pPr>
          <w:pStyle w:val="5"/>
          <w:rPr>
            <w:sz w:val="20"/>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2 -</w:t>
        </w:r>
        <w:r>
          <w:rPr>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6583D"/>
    <w:multiLevelType w:val="singleLevel"/>
    <w:tmpl w:val="B21658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A4"/>
    <w:rsid w:val="00112F19"/>
    <w:rsid w:val="001E1E71"/>
    <w:rsid w:val="00236737"/>
    <w:rsid w:val="00253DFD"/>
    <w:rsid w:val="00276C07"/>
    <w:rsid w:val="002966DA"/>
    <w:rsid w:val="002D59D8"/>
    <w:rsid w:val="002E7195"/>
    <w:rsid w:val="002F7BB7"/>
    <w:rsid w:val="003211B5"/>
    <w:rsid w:val="00341227"/>
    <w:rsid w:val="00351A21"/>
    <w:rsid w:val="00372ED5"/>
    <w:rsid w:val="0044413B"/>
    <w:rsid w:val="0045369F"/>
    <w:rsid w:val="004A2E3A"/>
    <w:rsid w:val="00513220"/>
    <w:rsid w:val="00620E31"/>
    <w:rsid w:val="007A3E7B"/>
    <w:rsid w:val="007F152F"/>
    <w:rsid w:val="00905A55"/>
    <w:rsid w:val="00A7655E"/>
    <w:rsid w:val="00A836A4"/>
    <w:rsid w:val="00B13FC4"/>
    <w:rsid w:val="00BB3DB8"/>
    <w:rsid w:val="00C64CF9"/>
    <w:rsid w:val="00C94FBC"/>
    <w:rsid w:val="00EF03BA"/>
    <w:rsid w:val="00F4242C"/>
    <w:rsid w:val="00F64A04"/>
    <w:rsid w:val="00FF5BF5"/>
    <w:rsid w:val="1BBDE50E"/>
    <w:rsid w:val="21B97EBC"/>
    <w:rsid w:val="385705B4"/>
    <w:rsid w:val="59EF3FB8"/>
    <w:rsid w:val="6D0B64AF"/>
    <w:rsid w:val="75E7B9C8"/>
    <w:rsid w:val="76F24C7A"/>
    <w:rsid w:val="7A5F7644"/>
    <w:rsid w:val="7CFF307F"/>
    <w:rsid w:val="8DE4184E"/>
    <w:rsid w:val="9DD6A33E"/>
    <w:rsid w:val="B9FF0D72"/>
    <w:rsid w:val="BDFF703B"/>
    <w:rsid w:val="D7BB3AAE"/>
    <w:rsid w:val="DBFDDC9B"/>
    <w:rsid w:val="DDF7E3E7"/>
    <w:rsid w:val="FBFFC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0" w:lineRule="atLeast"/>
    </w:pPr>
    <w:rPr>
      <w:rFonts w:eastAsia="小标宋"/>
      <w:sz w:val="44"/>
      <w:szCs w:val="32"/>
    </w:rPr>
  </w:style>
  <w:style w:type="paragraph" w:styleId="3">
    <w:name w:val="Date"/>
    <w:basedOn w:val="1"/>
    <w:next w:val="1"/>
    <w:link w:val="15"/>
    <w:unhideWhenUsed/>
    <w:qFormat/>
    <w:uiPriority w:val="99"/>
    <w:pPr>
      <w:ind w:left="100" w:leftChars="2500"/>
    </w:pPr>
    <w:rPr>
      <w:rFonts w:ascii="Times New Roman" w:hAnsi="Times New Roman" w:eastAsia="宋体"/>
      <w:sz w:val="21"/>
      <w:szCs w:val="20"/>
    </w:rPr>
  </w:style>
  <w:style w:type="paragraph" w:styleId="4">
    <w:name w:val="Balloon Text"/>
    <w:basedOn w:val="1"/>
    <w:link w:val="16"/>
    <w:unhideWhenUsed/>
    <w:qFormat/>
    <w:uiPriority w:val="99"/>
    <w:rPr>
      <w:rFonts w:ascii="Times New Roman" w:hAnsi="Times New Roman" w:eastAsia="宋体"/>
      <w:sz w:val="18"/>
      <w:szCs w:val="18"/>
    </w:rPr>
  </w:style>
  <w:style w:type="paragraph" w:styleId="5">
    <w:name w:val="footer"/>
    <w:basedOn w:val="1"/>
    <w:link w:val="14"/>
    <w:qFormat/>
    <w:uiPriority w:val="0"/>
    <w:pPr>
      <w:tabs>
        <w:tab w:val="center" w:pos="4153"/>
        <w:tab w:val="right" w:pos="8306"/>
      </w:tabs>
      <w:snapToGrid w:val="0"/>
      <w:jc w:val="left"/>
    </w:pPr>
    <w:rPr>
      <w:rFonts w:ascii="Times New Roman" w:hAnsi="Times New Roman" w:eastAsia="宋体"/>
      <w:sz w:val="18"/>
      <w:szCs w:val="20"/>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sz w:val="18"/>
      <w:szCs w:val="20"/>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正文文本 Char"/>
    <w:link w:val="2"/>
    <w:qFormat/>
    <w:uiPriority w:val="0"/>
    <w:rPr>
      <w:rFonts w:ascii="宋体" w:hAnsi="宋体" w:eastAsia="小标宋" w:cs="Times New Roman"/>
      <w:sz w:val="44"/>
      <w:szCs w:val="32"/>
    </w:rPr>
  </w:style>
  <w:style w:type="character" w:customStyle="1" w:styleId="12">
    <w:name w:val="正文文本 Char1"/>
    <w:basedOn w:val="9"/>
    <w:semiHidden/>
    <w:qFormat/>
    <w:uiPriority w:val="99"/>
    <w:rPr>
      <w:rFonts w:ascii="宋体" w:hAnsi="宋体" w:eastAsia="仿宋_GB2312" w:cs="Times New Roman"/>
      <w:sz w:val="32"/>
    </w:rPr>
  </w:style>
  <w:style w:type="character" w:customStyle="1" w:styleId="13">
    <w:name w:val="页眉 Char"/>
    <w:basedOn w:val="9"/>
    <w:link w:val="6"/>
    <w:qFormat/>
    <w:uiPriority w:val="0"/>
    <w:rPr>
      <w:rFonts w:ascii="Times New Roman" w:hAnsi="Times New Roman" w:eastAsia="宋体" w:cs="Times New Roman"/>
      <w:sz w:val="18"/>
      <w:szCs w:val="20"/>
    </w:rPr>
  </w:style>
  <w:style w:type="character" w:customStyle="1" w:styleId="14">
    <w:name w:val="页脚 Char"/>
    <w:basedOn w:val="9"/>
    <w:link w:val="5"/>
    <w:qFormat/>
    <w:uiPriority w:val="99"/>
    <w:rPr>
      <w:rFonts w:ascii="Times New Roman" w:hAnsi="Times New Roman" w:eastAsia="宋体" w:cs="Times New Roman"/>
      <w:sz w:val="18"/>
      <w:szCs w:val="20"/>
    </w:rPr>
  </w:style>
  <w:style w:type="character" w:customStyle="1" w:styleId="15">
    <w:name w:val="日期 Char"/>
    <w:basedOn w:val="9"/>
    <w:link w:val="3"/>
    <w:semiHidden/>
    <w:qFormat/>
    <w:uiPriority w:val="99"/>
    <w:rPr>
      <w:rFonts w:ascii="Times New Roman" w:hAnsi="Times New Roman" w:eastAsia="宋体" w:cs="Times New Roman"/>
      <w:szCs w:val="20"/>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font11"/>
    <w:basedOn w:val="9"/>
    <w:qFormat/>
    <w:uiPriority w:val="0"/>
    <w:rPr>
      <w:rFonts w:hint="default" w:ascii="Times New Roman" w:hAnsi="Times New Roman" w:cs="Times New Roman"/>
      <w:color w:val="000000"/>
      <w:sz w:val="21"/>
      <w:szCs w:val="21"/>
      <w:u w:val="none"/>
    </w:rPr>
  </w:style>
  <w:style w:type="character" w:customStyle="1" w:styleId="18">
    <w:name w:val="font31"/>
    <w:basedOn w:val="9"/>
    <w:qFormat/>
    <w:uiPriority w:val="0"/>
    <w:rPr>
      <w:rFonts w:hint="eastAsia" w:ascii="宋体" w:hAnsi="宋体" w:eastAsia="宋体" w:cs="宋体"/>
      <w:color w:val="000000"/>
      <w:sz w:val="21"/>
      <w:szCs w:val="21"/>
      <w:u w:val="none"/>
    </w:rPr>
  </w:style>
  <w:style w:type="character" w:customStyle="1" w:styleId="19">
    <w:name w:val="font4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2802</Words>
  <Characters>15972</Characters>
  <Lines>133</Lines>
  <Paragraphs>37</Paragraphs>
  <TotalTime>69</TotalTime>
  <ScaleCrop>false</ScaleCrop>
  <LinksUpToDate>false</LinksUpToDate>
  <CharactersWithSpaces>18737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2020-08-12T09:22:00Z</dcterms:created>
  <dc:creator>Administrator</dc:creator>
  <cp:lastModifiedBy>lenovo</cp:lastModifiedBy>
  <cp:lastPrinted>2022-01-07T03:09:00Z</cp:lastPrinted>
  <dcterms:modified xsi:type="dcterms:W3CDTF">2022-01-06T14:37:22Z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