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sz w:val="40"/>
          <w:szCs w:val="32"/>
          <w:lang w:eastAsia="zh-CN"/>
        </w:rPr>
      </w:pPr>
      <w:r>
        <w:rPr>
          <w:rFonts w:hint="default" w:ascii="Times New Roman" w:hAnsi="Times New Roman" w:eastAsia="方正小标宋简体" w:cs="Times New Roman"/>
          <w:sz w:val="40"/>
          <w:szCs w:val="32"/>
        </w:rPr>
        <w:t>广州市社科规划课题结项名单</w:t>
      </w:r>
      <w:r>
        <w:rPr>
          <w:rFonts w:hint="eastAsia" w:ascii="Times New Roman" w:hAnsi="Times New Roman" w:eastAsia="方正小标宋简体" w:cs="Times New Roman"/>
          <w:sz w:val="40"/>
          <w:szCs w:val="32"/>
          <w:lang w:eastAsia="zh-CN"/>
        </w:rPr>
        <w:t>（</w:t>
      </w:r>
      <w:r>
        <w:rPr>
          <w:rFonts w:hint="default" w:ascii="Times New Roman" w:hAnsi="Times New Roman" w:eastAsia="方正小标宋简体" w:cs="Times New Roman"/>
          <w:sz w:val="40"/>
          <w:szCs w:val="32"/>
        </w:rPr>
        <w:t>202</w:t>
      </w:r>
      <w:r>
        <w:rPr>
          <w:rFonts w:hint="default" w:ascii="Times New Roman" w:hAnsi="Times New Roman" w:eastAsia="方正小标宋简体" w:cs="Times New Roman"/>
          <w:sz w:val="40"/>
          <w:szCs w:val="32"/>
          <w:lang w:val="en-US" w:eastAsia="zh-CN"/>
        </w:rPr>
        <w:t>3</w:t>
      </w:r>
      <w:r>
        <w:rPr>
          <w:rFonts w:hint="default" w:ascii="Times New Roman" w:hAnsi="Times New Roman" w:eastAsia="方正小标宋简体" w:cs="Times New Roman"/>
          <w:sz w:val="40"/>
          <w:szCs w:val="32"/>
        </w:rPr>
        <w:t>年</w:t>
      </w:r>
      <w:r>
        <w:rPr>
          <w:rFonts w:hint="eastAsia" w:ascii="Times New Roman" w:hAnsi="Times New Roman" w:eastAsia="方正小标宋简体" w:cs="Times New Roman"/>
          <w:strike w:val="0"/>
          <w:dstrike w:val="0"/>
          <w:color w:val="000000" w:themeColor="text1"/>
          <w:sz w:val="40"/>
          <w:szCs w:val="32"/>
          <w:highlight w:val="none"/>
          <w:lang w:val="en-US" w:eastAsia="zh-CN"/>
          <w14:textFill>
            <w14:solidFill>
              <w14:schemeClr w14:val="tx1"/>
            </w14:solidFill>
          </w14:textFill>
        </w:rPr>
        <w:t>7月</w:t>
      </w:r>
      <w:bookmarkStart w:id="1" w:name="_GoBack"/>
      <w:bookmarkEnd w:id="1"/>
      <w:r>
        <w:rPr>
          <w:rFonts w:hint="eastAsia" w:ascii="Times New Roman" w:hAnsi="Times New Roman" w:eastAsia="方正小标宋简体" w:cs="Times New Roman"/>
          <w:sz w:val="40"/>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重大、智库课题结项名单</w:t>
      </w:r>
    </w:p>
    <w:tbl>
      <w:tblPr>
        <w:tblStyle w:val="7"/>
        <w:tblW w:w="5282"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11"/>
        <w:gridCol w:w="1909"/>
        <w:gridCol w:w="3450"/>
        <w:gridCol w:w="1147"/>
        <w:gridCol w:w="1587"/>
        <w:gridCol w:w="12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0" w:type="pct"/>
            <w:noWrap w:val="0"/>
            <w:vAlign w:val="center"/>
          </w:tcPr>
          <w:p>
            <w:pPr>
              <w:widowControl/>
              <w:spacing w:line="0" w:lineRule="atLeast"/>
              <w:contextualSpacing/>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序号</w:t>
            </w:r>
          </w:p>
        </w:tc>
        <w:tc>
          <w:tcPr>
            <w:tcW w:w="973" w:type="pct"/>
            <w:noWrap w:val="0"/>
            <w:vAlign w:val="center"/>
          </w:tcPr>
          <w:p>
            <w:pPr>
              <w:widowControl/>
              <w:spacing w:line="0" w:lineRule="atLeast"/>
              <w:contextualSpacing/>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课题编号</w:t>
            </w:r>
          </w:p>
        </w:tc>
        <w:tc>
          <w:tcPr>
            <w:tcW w:w="1758" w:type="pct"/>
            <w:noWrap w:val="0"/>
            <w:vAlign w:val="center"/>
          </w:tcPr>
          <w:p>
            <w:pPr>
              <w:widowControl/>
              <w:spacing w:line="0" w:lineRule="atLeast"/>
              <w:contextualSpacing/>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课题名称</w:t>
            </w:r>
          </w:p>
        </w:tc>
        <w:tc>
          <w:tcPr>
            <w:tcW w:w="584" w:type="pct"/>
            <w:noWrap w:val="0"/>
            <w:vAlign w:val="center"/>
          </w:tcPr>
          <w:p>
            <w:pPr>
              <w:widowControl/>
              <w:spacing w:line="0" w:lineRule="atLeast"/>
              <w:contextualSpacing/>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负责人</w:t>
            </w:r>
          </w:p>
        </w:tc>
        <w:tc>
          <w:tcPr>
            <w:tcW w:w="808" w:type="pct"/>
            <w:noWrap w:val="0"/>
            <w:vAlign w:val="center"/>
          </w:tcPr>
          <w:p>
            <w:pPr>
              <w:widowControl/>
              <w:spacing w:line="0" w:lineRule="atLeast"/>
              <w:contextualSpacing/>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单位</w:t>
            </w:r>
          </w:p>
        </w:tc>
        <w:tc>
          <w:tcPr>
            <w:tcW w:w="615" w:type="pct"/>
            <w:noWrap w:val="0"/>
            <w:vAlign w:val="center"/>
          </w:tcPr>
          <w:p>
            <w:pPr>
              <w:widowControl/>
              <w:spacing w:line="0" w:lineRule="atLeast"/>
              <w:contextualSpacing/>
              <w:jc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评审结果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2020GZWTZD02</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国家建设进程中的地方治理</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王清</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中山大学</w:t>
            </w:r>
          </w:p>
        </w:tc>
        <w:tc>
          <w:tcPr>
            <w:tcW w:w="61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21"/>
                <w:szCs w:val="21"/>
                <w:highlight w:val="none"/>
                <w:u w:val="none"/>
                <w:lang w:val="en-US" w:eastAsia="zh-CN" w:bidi="ar"/>
              </w:rPr>
              <w:t>良好</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21"/>
                <w:szCs w:val="21"/>
                <w:highlight w:val="none"/>
                <w:u w:val="none"/>
                <w:lang w:val="en-US" w:eastAsia="zh-CN" w:bidi="ar"/>
              </w:rPr>
              <w:t>（免结项评审）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2020GZWTZD06</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新时代党的建设方略</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张浩</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中山大学</w:t>
            </w:r>
          </w:p>
        </w:tc>
        <w:tc>
          <w:tcPr>
            <w:tcW w:w="61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21"/>
                <w:szCs w:val="21"/>
                <w:highlight w:val="none"/>
                <w:u w:val="none"/>
                <w:lang w:val="en-US" w:eastAsia="zh-CN" w:bidi="ar"/>
              </w:rPr>
              <w:t>良好</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21"/>
                <w:szCs w:val="21"/>
                <w:highlight w:val="none"/>
                <w:u w:val="none"/>
                <w:lang w:val="en-US" w:eastAsia="zh-CN" w:bidi="ar"/>
              </w:rPr>
              <w:t>（免结项评审）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2020GZWTZD05</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新时代生态文明建设的创新</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傅京燕</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暨南大学</w:t>
            </w:r>
          </w:p>
        </w:tc>
        <w:tc>
          <w:tcPr>
            <w:tcW w:w="61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21"/>
                <w:szCs w:val="21"/>
                <w:highlight w:val="none"/>
                <w:u w:val="none"/>
                <w:lang w:val="en-US" w:eastAsia="zh-CN" w:bidi="ar"/>
              </w:rPr>
              <w:t>良好</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21"/>
                <w:szCs w:val="21"/>
                <w:highlight w:val="none"/>
                <w:u w:val="none"/>
                <w:lang w:val="en-US" w:eastAsia="zh-CN" w:bidi="ar"/>
              </w:rPr>
              <w:t>（免结项评审）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2020GZWTZD07</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新时代精神文明建设基础论研究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罗明星</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61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21"/>
                <w:szCs w:val="21"/>
                <w:highlight w:val="none"/>
                <w:u w:val="none"/>
                <w:lang w:val="en-US" w:eastAsia="zh-CN" w:bidi="ar"/>
              </w:rPr>
              <w:t>良好</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21"/>
                <w:szCs w:val="21"/>
                <w:highlight w:val="none"/>
                <w:u w:val="none"/>
                <w:lang w:val="en-US" w:eastAsia="zh-CN" w:bidi="ar"/>
              </w:rPr>
              <w:t>（免结项评审）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2020GZZK01</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全面建立资源高效利用制度研究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刘长兴</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华南理工大学</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2022GZZK05</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广州全面推进城市数字化转型研究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张振刚</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华南理工大学</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2022GZZK16</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碳达峰碳中和背景下打造广州绿色金融中心研究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战明华</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广东外语外贸大学</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2022GZZK07</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广州推动城市空间布局优化研究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胡光霁</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中山大学</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2022GZZK17</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如何用绣花功夫推进城市更新改造与历史文化保护研究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刘铮</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华南理工大学</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2022GZZK10</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广州振兴工业经济运行研究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梁永福</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广东工业大学</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2022GZZK01</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广州在服务和融入新发展格局中的战略定位及发展路径研究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陈伟光</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广东外语外贸大学</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2022GZZK06</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广州全面推进城市数字化转型研究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王艳</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广东外语外贸大学</w:t>
            </w:r>
          </w:p>
        </w:tc>
        <w:tc>
          <w:tcPr>
            <w:tcW w:w="615" w:type="pct"/>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21"/>
                <w:szCs w:val="21"/>
                <w:highlight w:val="none"/>
                <w:u w:val="none"/>
                <w:lang w:val="en-US" w:eastAsia="zh-CN" w:bidi="ar"/>
              </w:rPr>
              <w:t>良好</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highlight w:val="none"/>
                <w:u w:val="none"/>
                <w:lang w:val="en-US" w:eastAsia="zh-CN" w:bidi="ar"/>
              </w:rPr>
              <w:t>（免结项评审）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2020GZZK05</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面向区块链技术的相对贫困治理研究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谢治菊</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2022GZZK19</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广州韧性城市建设研究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周利敏</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46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2022GZZK12</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广州都市圈多层轨道交通融合发展研究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刘鹏</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广州航海学院</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16</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2022GZZK09</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广州振兴工业经济运行研究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陈刚</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广州市社会科学院</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17</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2022GZZK23</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广州建设青年友好型城市研究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万欣荣</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中山大学</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18</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2022GZZK22</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广州建设青年友好型城市研究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林楠</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广东省团校</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60"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19</w:t>
            </w:r>
          </w:p>
        </w:tc>
        <w:tc>
          <w:tcPr>
            <w:tcW w:w="973"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2022GZZK03</w:t>
            </w:r>
          </w:p>
        </w:tc>
        <w:tc>
          <w:tcPr>
            <w:tcW w:w="175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广州培育建设国际消费中心城市研究</w:t>
            </w:r>
          </w:p>
        </w:tc>
        <w:tc>
          <w:tcPr>
            <w:tcW w:w="584"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谢兰兰</w:t>
            </w:r>
          </w:p>
        </w:tc>
        <w:tc>
          <w:tcPr>
            <w:tcW w:w="808" w:type="pct"/>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广州航海学院</w:t>
            </w:r>
          </w:p>
        </w:tc>
        <w:tc>
          <w:tcPr>
            <w:tcW w:w="61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bl>
    <w:p>
      <w:pPr>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二、一般课题结项名单</w:t>
      </w:r>
    </w:p>
    <w:tbl>
      <w:tblPr>
        <w:tblStyle w:val="7"/>
        <w:tblW w:w="528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59"/>
        <w:gridCol w:w="1827"/>
        <w:gridCol w:w="3552"/>
        <w:gridCol w:w="1082"/>
        <w:gridCol w:w="1556"/>
        <w:gridCol w:w="12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7" w:hRule="atLeast"/>
          <w:tblHeader/>
          <w:jc w:val="center"/>
        </w:trPr>
        <w:tc>
          <w:tcPr>
            <w:tcW w:w="285" w:type="pct"/>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序号</w:t>
            </w:r>
          </w:p>
        </w:tc>
        <w:tc>
          <w:tcPr>
            <w:tcW w:w="930" w:type="pct"/>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课题编号</w:t>
            </w:r>
          </w:p>
        </w:tc>
        <w:tc>
          <w:tcPr>
            <w:tcW w:w="1808" w:type="pct"/>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课题名称</w:t>
            </w:r>
          </w:p>
        </w:tc>
        <w:tc>
          <w:tcPr>
            <w:tcW w:w="551" w:type="pct"/>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负责人</w:t>
            </w:r>
          </w:p>
        </w:tc>
        <w:tc>
          <w:tcPr>
            <w:tcW w:w="792" w:type="pct"/>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单位</w:t>
            </w:r>
          </w:p>
        </w:tc>
        <w:tc>
          <w:tcPr>
            <w:tcW w:w="631" w:type="pct"/>
            <w:noWrap w:val="0"/>
            <w:vAlign w:val="center"/>
          </w:tcPr>
          <w:p>
            <w:pPr>
              <w:widowControl/>
              <w:spacing w:line="0" w:lineRule="atLeast"/>
              <w:contextualSpacing/>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评审结果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2021GZYB02</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广州加快“1+4+4+N”战略科技平台建设研究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李胜会</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华南理工大学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2</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2021GZYB32</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提升广州红色文化全国影响力传播力研究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刘社欣</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华南理工大学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3</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2019GZYB20</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英美主流媒体关于“粤港澳大湾区”话语建构研究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侯智德</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暨南大学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4</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2021GZYB15</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广州稳定和优化产业链供应链研究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沈洪涛</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暨南大学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5</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2021GZYB09</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广州打造全球人才创新高地研究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卢允之</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华南师范大学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6</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2020GZYB39</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改革开放40年广州城市公园建设历程与设计经验研究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程晓山</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华南农业大学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7</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2020GZYB46</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广州基层社区“一核多元”联动治理机制优化和实践路径研究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蔡岚</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广东外语外贸大学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8</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2021GZYB14</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广州稳定和优化产业链供应链研究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张志明</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广东外语外贸大学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9</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2020GZYB56</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粤港澳大湾区高质量协同共建宜游优质旅游圈研究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吴开军</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广东财经大学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10</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2021GZYB06</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广州推进要素市场化配置改革研究：基于城乡劳动力平等就业的视角</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孟凡强</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广东财经大学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11</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2021GZYB30</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建设文化强国背景下新时代岭南文化的演进提升路径研究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陈智旭</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广东第二师范学院</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12</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2020GZYB73</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治理现代化场域中第一书记制度运行与行动范式研究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陶芝兰</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广东金融学院</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13</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2020GZYB79</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岭南植物染在现代服饰产品设计中的技术工艺创新</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李罗娉</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广东轻工职业技术学院</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14</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2020GZYB80</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粤港澳大湾区大学生系统化创业过程研究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张文鸾</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广东轻工职业技术学院</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15</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2020GZYB89</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高质量发展视域下创新要素配置的统计测度与评价研究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李正辉</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16</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2020GZYB90</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广州市远郊空心村的活化潜力及其路径选择</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冯艳芬</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17</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2020GZYB91</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工作记忆对知觉类别学习影响的认知机制研究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邢强</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18</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2020GZYB92</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从线下回避到线上易感：同伴排斥影响青少年问题性社交媒体使用的纵向追踪研究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窦凯</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19</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2019GZYB62</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清中晚期广府书画鉴藏群体研究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陈婧莎</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广州美术学院</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20</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2019GZYB91</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广州建设粤港澳大湾区科技创新中心研究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周圣强</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广州市社会科学院</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21</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2020GZYB85</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广东木偶戏文献文物整理与研究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林玮</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广州新华学院</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22</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2021GZYB22</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提升广州都市圈城市群同城化水平研究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唐波</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广州新华学院</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23</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2020GZYB22</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近代地理教科书与中国南海疆域的教育</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王静</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暨南大学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24</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2020GZYB38</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失智老人可穿戴产品的界面设计研究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郑璀颖</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华南农业大学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25</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2020GZYB52</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数字经济时代人工智能对广州就业市场重塑研究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明娟</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广东工业大学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2019GZYB76</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情感人类学视域下岭南乡村活力塑造研究——基于乡村节庆的视角</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罗远玲</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广东交通职业技术学院</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27</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2018GZYB137</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中华优秀传统文化融入广州市中学思想政治教育研究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陈莉丽</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广州市教育局（广州市第八十六中学）</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2019GZYB60</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习近平全面从严治党思想与高校学生党建实践研究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吴南生</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仲恺农业工程学院</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2019GZYB61</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新时代乡村治理视角下的广州地区农村基层组织建言机制分析</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张倩秋</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仲恺农业工程学院</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85"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w:t>
            </w:r>
          </w:p>
        </w:tc>
        <w:tc>
          <w:tcPr>
            <w:tcW w:w="1782"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2020GZYB74</w:t>
            </w:r>
          </w:p>
        </w:tc>
        <w:tc>
          <w:tcPr>
            <w:tcW w:w="346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南粤古驿道诗的搜集、整理与研究</w:t>
            </w:r>
          </w:p>
        </w:tc>
        <w:tc>
          <w:tcPr>
            <w:tcW w:w="10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袁文春</w:t>
            </w:r>
          </w:p>
        </w:tc>
        <w:tc>
          <w:tcPr>
            <w:tcW w:w="1518"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仲恺农业工程学院</w:t>
            </w:r>
          </w:p>
        </w:tc>
        <w:tc>
          <w:tcPr>
            <w:tcW w:w="12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bl>
    <w:p>
      <w:pPr>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w:t>
      </w:r>
      <w:r>
        <w:rPr>
          <w:rFonts w:hint="default" w:ascii="Times New Roman" w:hAnsi="Times New Roman" w:eastAsia="黑体" w:cs="Times New Roman"/>
          <w:bCs/>
          <w:sz w:val="32"/>
          <w:szCs w:val="32"/>
          <w:lang w:eastAsia="zh-CN"/>
        </w:rPr>
        <w:t>羊城</w:t>
      </w:r>
      <w:r>
        <w:rPr>
          <w:rFonts w:hint="default" w:ascii="Times New Roman" w:hAnsi="Times New Roman" w:eastAsia="黑体" w:cs="Times New Roman"/>
          <w:bCs/>
          <w:sz w:val="32"/>
          <w:szCs w:val="32"/>
        </w:rPr>
        <w:t>青年</w:t>
      </w:r>
      <w:r>
        <w:rPr>
          <w:rFonts w:hint="default" w:ascii="Times New Roman" w:hAnsi="Times New Roman" w:eastAsia="黑体" w:cs="Times New Roman"/>
          <w:bCs/>
          <w:sz w:val="32"/>
          <w:szCs w:val="32"/>
          <w:lang w:eastAsia="zh-CN"/>
        </w:rPr>
        <w:t>学人</w:t>
      </w:r>
      <w:r>
        <w:rPr>
          <w:rFonts w:hint="default" w:ascii="Times New Roman" w:hAnsi="Times New Roman" w:eastAsia="黑体" w:cs="Times New Roman"/>
          <w:bCs/>
          <w:sz w:val="32"/>
          <w:szCs w:val="32"/>
        </w:rPr>
        <w:t>课题结项名单</w:t>
      </w:r>
    </w:p>
    <w:tbl>
      <w:tblPr>
        <w:tblStyle w:val="7"/>
        <w:tblW w:w="528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447"/>
        <w:gridCol w:w="1860"/>
        <w:gridCol w:w="3502"/>
        <w:gridCol w:w="1116"/>
        <w:gridCol w:w="1740"/>
        <w:gridCol w:w="11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7" w:hRule="atLeast"/>
          <w:tblHeader/>
          <w:jc w:val="center"/>
        </w:trPr>
        <w:tc>
          <w:tcPr>
            <w:tcW w:w="228" w:type="pct"/>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序号</w:t>
            </w:r>
          </w:p>
        </w:tc>
        <w:tc>
          <w:tcPr>
            <w:tcW w:w="947" w:type="pct"/>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课题编号</w:t>
            </w:r>
          </w:p>
        </w:tc>
        <w:tc>
          <w:tcPr>
            <w:tcW w:w="1783" w:type="pct"/>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课题名称</w:t>
            </w:r>
          </w:p>
        </w:tc>
        <w:tc>
          <w:tcPr>
            <w:tcW w:w="568" w:type="pct"/>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负责人</w:t>
            </w:r>
          </w:p>
        </w:tc>
        <w:tc>
          <w:tcPr>
            <w:tcW w:w="886" w:type="pct"/>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单位</w:t>
            </w:r>
          </w:p>
        </w:tc>
        <w:tc>
          <w:tcPr>
            <w:tcW w:w="586" w:type="pct"/>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评审结果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2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181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2020GZQN12</w:t>
            </w:r>
          </w:p>
        </w:tc>
        <w:tc>
          <w:tcPr>
            <w:tcW w:w="3416"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象征到价值：意识形态建设实效生成路径研究</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赖怡芳</w:t>
            </w:r>
          </w:p>
        </w:tc>
        <w:tc>
          <w:tcPr>
            <w:tcW w:w="1697"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华南理工大学</w:t>
            </w:r>
          </w:p>
        </w:tc>
        <w:tc>
          <w:tcPr>
            <w:tcW w:w="11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2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181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2020GZQN20</w:t>
            </w:r>
          </w:p>
        </w:tc>
        <w:tc>
          <w:tcPr>
            <w:tcW w:w="3416"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基于多模态融合的大学生心理健康潜在错误源的抑制机制研究</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周少娜</w:t>
            </w:r>
          </w:p>
        </w:tc>
        <w:tc>
          <w:tcPr>
            <w:tcW w:w="1697"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华南师范大学</w:t>
            </w:r>
          </w:p>
        </w:tc>
        <w:tc>
          <w:tcPr>
            <w:tcW w:w="11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28"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3</w:t>
            </w:r>
          </w:p>
        </w:tc>
        <w:tc>
          <w:tcPr>
            <w:tcW w:w="181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2020GZQN22</w:t>
            </w:r>
          </w:p>
        </w:tc>
        <w:tc>
          <w:tcPr>
            <w:tcW w:w="3416"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人本主义视角下城中村微更新制度研究：以广州为例</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张天尧</w:t>
            </w:r>
          </w:p>
        </w:tc>
        <w:tc>
          <w:tcPr>
            <w:tcW w:w="1697"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华南师范大学</w:t>
            </w:r>
          </w:p>
        </w:tc>
        <w:tc>
          <w:tcPr>
            <w:tcW w:w="11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28"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4</w:t>
            </w:r>
          </w:p>
        </w:tc>
        <w:tc>
          <w:tcPr>
            <w:tcW w:w="181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2019GZQN34</w:t>
            </w:r>
          </w:p>
        </w:tc>
        <w:tc>
          <w:tcPr>
            <w:tcW w:w="3416"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广州农村的消费分化问题与消费升级策略研究</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郑姝莉</w:t>
            </w:r>
          </w:p>
        </w:tc>
        <w:tc>
          <w:tcPr>
            <w:tcW w:w="1697"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广东省社会科学院</w:t>
            </w:r>
          </w:p>
        </w:tc>
        <w:tc>
          <w:tcPr>
            <w:tcW w:w="11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28"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5</w:t>
            </w:r>
          </w:p>
        </w:tc>
        <w:tc>
          <w:tcPr>
            <w:tcW w:w="181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2022GZQN22</w:t>
            </w:r>
          </w:p>
        </w:tc>
        <w:tc>
          <w:tcPr>
            <w:tcW w:w="3416"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中国共产党百年奋斗历史经验的内在逻辑和当代价值研究：基于情感视角</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金光磊</w:t>
            </w:r>
          </w:p>
        </w:tc>
        <w:tc>
          <w:tcPr>
            <w:tcW w:w="1697"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广东外语外贸大学</w:t>
            </w:r>
          </w:p>
        </w:tc>
        <w:tc>
          <w:tcPr>
            <w:tcW w:w="11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28"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6</w:t>
            </w:r>
          </w:p>
        </w:tc>
        <w:tc>
          <w:tcPr>
            <w:tcW w:w="181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2020GZQN58</w:t>
            </w:r>
          </w:p>
        </w:tc>
        <w:tc>
          <w:tcPr>
            <w:tcW w:w="3416"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粤港澳大湾区企业需求融入广州市应用型本科人才培养的协同机制研究</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李家新</w:t>
            </w:r>
          </w:p>
        </w:tc>
        <w:tc>
          <w:tcPr>
            <w:tcW w:w="1697"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11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28"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7</w:t>
            </w:r>
          </w:p>
        </w:tc>
        <w:tc>
          <w:tcPr>
            <w:tcW w:w="181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2020GZQN59</w:t>
            </w:r>
          </w:p>
        </w:tc>
        <w:tc>
          <w:tcPr>
            <w:tcW w:w="3416"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城市化进程中少数民族流动人口的语言适应与服务管理：基于广州的实证研究</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魏琳</w:t>
            </w:r>
          </w:p>
        </w:tc>
        <w:tc>
          <w:tcPr>
            <w:tcW w:w="1697"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11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28"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8</w:t>
            </w:r>
          </w:p>
        </w:tc>
        <w:tc>
          <w:tcPr>
            <w:tcW w:w="181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2020GZQN61</w:t>
            </w:r>
          </w:p>
        </w:tc>
        <w:tc>
          <w:tcPr>
            <w:tcW w:w="3416"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数字技术对粤港澳大湾区创业生态系统治理的影响机制研究</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冉佳森</w:t>
            </w:r>
          </w:p>
        </w:tc>
        <w:tc>
          <w:tcPr>
            <w:tcW w:w="1697"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11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228" w:type="pct"/>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9</w:t>
            </w:r>
          </w:p>
        </w:tc>
        <w:tc>
          <w:tcPr>
            <w:tcW w:w="1814"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2020GZQN56</w:t>
            </w:r>
          </w:p>
        </w:tc>
        <w:tc>
          <w:tcPr>
            <w:tcW w:w="3416"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基于大数据的慢性非传染性疾病的精准防控服务体系构建：以老年人骨质疏松性骨折二级预防为例</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莫健</w:t>
            </w:r>
          </w:p>
        </w:tc>
        <w:tc>
          <w:tcPr>
            <w:tcW w:w="1697"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中山大学附属第三医院</w:t>
            </w:r>
          </w:p>
        </w:tc>
        <w:tc>
          <w:tcPr>
            <w:tcW w:w="11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bl>
    <w:p>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w:t>
      </w:r>
      <w:r>
        <w:rPr>
          <w:rFonts w:hint="default" w:ascii="Times New Roman" w:hAnsi="Times New Roman" w:eastAsia="黑体" w:cs="Times New Roman"/>
          <w:bCs/>
          <w:sz w:val="32"/>
          <w:szCs w:val="32"/>
          <w:lang w:eastAsia="zh-CN"/>
        </w:rPr>
        <w:t>广州大典课题</w:t>
      </w:r>
      <w:r>
        <w:rPr>
          <w:rFonts w:hint="default" w:ascii="Times New Roman" w:hAnsi="Times New Roman" w:eastAsia="黑体" w:cs="Times New Roman"/>
          <w:bCs/>
          <w:sz w:val="32"/>
          <w:szCs w:val="32"/>
        </w:rPr>
        <w:t>结项名单</w:t>
      </w:r>
    </w:p>
    <w:tbl>
      <w:tblPr>
        <w:tblStyle w:val="7"/>
        <w:tblW w:w="958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22"/>
        <w:gridCol w:w="1743"/>
        <w:gridCol w:w="3401"/>
        <w:gridCol w:w="1110"/>
        <w:gridCol w:w="1680"/>
        <w:gridCol w:w="11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序号</w:t>
            </w:r>
          </w:p>
        </w:tc>
        <w:tc>
          <w:tcPr>
            <w:tcW w:w="1743"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课题编号</w:t>
            </w:r>
          </w:p>
        </w:tc>
        <w:tc>
          <w:tcPr>
            <w:tcW w:w="3401"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课题名称</w:t>
            </w:r>
          </w:p>
        </w:tc>
        <w:tc>
          <w:tcPr>
            <w:tcW w:w="1110"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负责人</w:t>
            </w:r>
          </w:p>
        </w:tc>
        <w:tc>
          <w:tcPr>
            <w:tcW w:w="1680"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单位</w:t>
            </w:r>
          </w:p>
        </w:tc>
        <w:tc>
          <w:tcPr>
            <w:tcW w:w="1125"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评审结果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2019GZZ04</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晚清广州本土学者微积分著述的整理与研究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廖运章</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2019GZZ07</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广州经学研究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程潮</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优秀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2019GZZ05</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广州光孝寺早期沿革、驻锡外国高僧事迹及其在中外佛教文化交流中的地位研究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姚崇新</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中山大学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2019GZZ08</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广东古代藏书与近代图书馆史料整理与研究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肖鹏</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中山大学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2016GZY20</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清代广东私家刻书研究 </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王磊</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华南理工大学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2018GZY24</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广州外语教育与汉学教育研究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曾文雄</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广东财经大学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2018GZY23</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以汤为媒：广府汤的变迁及其在“一带一路”的传播史</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王冰</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广东省社会科学界联合会</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2018GZZ03</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新加坡早期广府籍华文碑铭资料整理及移民史研究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蒋艳萍</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2020GZDD07</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清末粤方言白话报刊整理与语言研究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王毅力</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2019GZZ03</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英国国家档案馆藏清代澳门档案与广州十三行档案整理研究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汤开建</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暨南大学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2019GZY12</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广州晚清民国艺术设计教育史</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邱景源</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华南师范大学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2021GZDD02</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广州与海上丝绸之路研究：宋元明初广州港口外销瓷与“海上陶瓷之路”考校</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齐皓</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广州新华学院</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bl>
    <w:p>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五</w:t>
      </w:r>
      <w:r>
        <w:rPr>
          <w:rFonts w:hint="default" w:ascii="Times New Roman" w:hAnsi="Times New Roman" w:eastAsia="黑体" w:cs="Times New Roman"/>
          <w:bCs/>
          <w:sz w:val="32"/>
          <w:szCs w:val="32"/>
        </w:rPr>
        <w:t>、</w:t>
      </w:r>
      <w:r>
        <w:rPr>
          <w:rFonts w:hint="default" w:ascii="Times New Roman" w:hAnsi="Times New Roman" w:eastAsia="黑体" w:cs="Times New Roman"/>
          <w:bCs/>
          <w:sz w:val="32"/>
          <w:szCs w:val="32"/>
          <w:lang w:eastAsia="zh-CN"/>
        </w:rPr>
        <w:t>广州大典博士论文</w:t>
      </w:r>
      <w:r>
        <w:rPr>
          <w:rFonts w:hint="default" w:ascii="Times New Roman" w:hAnsi="Times New Roman" w:eastAsia="黑体" w:cs="Times New Roman"/>
          <w:bCs/>
          <w:sz w:val="32"/>
          <w:szCs w:val="32"/>
        </w:rPr>
        <w:t>结项名单</w:t>
      </w:r>
    </w:p>
    <w:tbl>
      <w:tblPr>
        <w:tblStyle w:val="7"/>
        <w:tblW w:w="958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22"/>
        <w:gridCol w:w="1743"/>
        <w:gridCol w:w="3401"/>
        <w:gridCol w:w="1110"/>
        <w:gridCol w:w="1680"/>
        <w:gridCol w:w="11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序号</w:t>
            </w:r>
          </w:p>
        </w:tc>
        <w:tc>
          <w:tcPr>
            <w:tcW w:w="1743"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课题编号</w:t>
            </w:r>
          </w:p>
        </w:tc>
        <w:tc>
          <w:tcPr>
            <w:tcW w:w="3401"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课题名称</w:t>
            </w:r>
          </w:p>
        </w:tc>
        <w:tc>
          <w:tcPr>
            <w:tcW w:w="1110"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负责人</w:t>
            </w:r>
          </w:p>
        </w:tc>
        <w:tc>
          <w:tcPr>
            <w:tcW w:w="1680"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单位</w:t>
            </w:r>
          </w:p>
        </w:tc>
        <w:tc>
          <w:tcPr>
            <w:tcW w:w="1125"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评审结果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2019GZB08</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粤剧唱腔音乐形态研究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孔庆夫</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中山大学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2019GZB09</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近代广东海关档案信息资源开发利用研究——基于方言拼音体系演变过程</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王卉</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中山大学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2019GZB01</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外国人在广州的活动空间研究（1800-1911）</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阮宏</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暨南大学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2021GZLW02</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不殊华夏：明代广东地域社会的形成研究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吴泽文</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复旦大学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2020GZLW02</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清代中后期岭南地区文人治生活动与文学创作研究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黄一玫</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浙江大学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bl>
    <w:p>
      <w:pP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六</w:t>
      </w:r>
      <w:r>
        <w:rPr>
          <w:rFonts w:hint="default" w:ascii="Times New Roman" w:hAnsi="Times New Roman" w:eastAsia="黑体" w:cs="Times New Roman"/>
          <w:bCs/>
          <w:sz w:val="32"/>
          <w:szCs w:val="32"/>
        </w:rPr>
        <w:t>、</w:t>
      </w:r>
      <w:r>
        <w:rPr>
          <w:rFonts w:hint="default" w:ascii="Times New Roman" w:hAnsi="Times New Roman" w:eastAsia="黑体" w:cs="Times New Roman"/>
          <w:bCs/>
          <w:sz w:val="32"/>
          <w:szCs w:val="32"/>
          <w:lang w:eastAsia="zh-CN"/>
        </w:rPr>
        <w:t>思政专项课题</w:t>
      </w:r>
      <w:r>
        <w:rPr>
          <w:rFonts w:hint="default" w:ascii="Times New Roman" w:hAnsi="Times New Roman" w:eastAsia="黑体" w:cs="Times New Roman"/>
          <w:bCs/>
          <w:sz w:val="32"/>
          <w:szCs w:val="32"/>
        </w:rPr>
        <w:t>结项名单</w:t>
      </w:r>
    </w:p>
    <w:tbl>
      <w:tblPr>
        <w:tblStyle w:val="7"/>
        <w:tblW w:w="958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22"/>
        <w:gridCol w:w="1743"/>
        <w:gridCol w:w="3401"/>
        <w:gridCol w:w="1110"/>
        <w:gridCol w:w="1680"/>
        <w:gridCol w:w="11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序号</w:t>
            </w:r>
          </w:p>
        </w:tc>
        <w:tc>
          <w:tcPr>
            <w:tcW w:w="1743"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课题编号</w:t>
            </w:r>
          </w:p>
        </w:tc>
        <w:tc>
          <w:tcPr>
            <w:tcW w:w="3401"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课题名称</w:t>
            </w:r>
          </w:p>
        </w:tc>
        <w:tc>
          <w:tcPr>
            <w:tcW w:w="1110"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负责人</w:t>
            </w:r>
          </w:p>
        </w:tc>
        <w:tc>
          <w:tcPr>
            <w:tcW w:w="1680"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单位</w:t>
            </w:r>
          </w:p>
        </w:tc>
        <w:tc>
          <w:tcPr>
            <w:tcW w:w="1125" w:type="dxa"/>
            <w:noWrap w:val="0"/>
            <w:vAlign w:val="center"/>
          </w:tcPr>
          <w:p>
            <w:pPr>
              <w:widowControl/>
              <w:spacing w:line="0" w:lineRule="atLeast"/>
              <w:contextualSpacing/>
              <w:jc w:val="center"/>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评审结果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2021GZSZ17</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“抗疫精神”有机融入大学思政课的课例研究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林少栋</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广州航海学院</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良好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2021GZSZ20</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互联网时代高职院校学生思想政治教育难点和对策研究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冼梨娜</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广州工程技术职业学院</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2021GZSZ21</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广州地区高校学生危机事件有效应对与处置策略研究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谢秋燕</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广州工程技术职业学院</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2021GZSZ16</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“四史”教育有效融入大学思政课的课例研究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刘楚</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广州航海学院</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2021GZSZ07</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新时代青年马克思主义者培养路径创新研究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张建</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广州医科大学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52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p>
        </w:tc>
        <w:tc>
          <w:tcPr>
            <w:tcW w:w="1743"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2021GZSZ13</w:t>
            </w:r>
          </w:p>
        </w:tc>
        <w:tc>
          <w:tcPr>
            <w:tcW w:w="3401"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以“榜样的力量”营造新时代大学优良校风研究</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顾丽婷</w:t>
            </w:r>
          </w:p>
        </w:tc>
        <w:tc>
          <w:tcPr>
            <w:tcW w:w="168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广州医科大学</w:t>
            </w:r>
          </w:p>
        </w:tc>
        <w:tc>
          <w:tcPr>
            <w:tcW w:w="11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合格</w:t>
            </w:r>
          </w:p>
        </w:tc>
      </w:tr>
    </w:tbl>
    <w:p>
      <w:pPr>
        <w:jc w:val="left"/>
        <w:rPr>
          <w:rFonts w:hint="default" w:ascii="Times New Roman" w:hAnsi="Times New Roman" w:cs="Times New Roman"/>
        </w:rPr>
      </w:pPr>
      <w:r>
        <w:rPr>
          <w:rFonts w:hint="default" w:ascii="Times New Roman" w:hAnsi="Times New Roman" w:cs="Times New Roman"/>
          <w:sz w:val="20"/>
          <w:szCs w:val="32"/>
        </w:rPr>
        <mc:AlternateContent>
          <mc:Choice Requires="wps">
            <w:drawing>
              <wp:anchor distT="0" distB="0" distL="114300" distR="114300" simplePos="0" relativeHeight="251662336" behindDoc="0" locked="0" layoutInCell="1" allowOverlap="1">
                <wp:simplePos x="0" y="0"/>
                <wp:positionH relativeFrom="column">
                  <wp:posOffset>-123190</wp:posOffset>
                </wp:positionH>
                <wp:positionV relativeFrom="margin">
                  <wp:posOffset>8411845</wp:posOffset>
                </wp:positionV>
                <wp:extent cx="5615940" cy="522605"/>
                <wp:effectExtent l="0" t="0" r="3810" b="0"/>
                <wp:wrapNone/>
                <wp:docPr id="5" name="文本框 17"/>
                <wp:cNvGraphicFramePr/>
                <a:graphic xmlns:a="http://schemas.openxmlformats.org/drawingml/2006/main">
                  <a:graphicData uri="http://schemas.microsoft.com/office/word/2010/wordprocessingShape">
                    <wps:wsp>
                      <wps:cNvSpPr txBox="true"/>
                      <wps:spPr>
                        <a:xfrm>
                          <a:off x="0" y="0"/>
                          <a:ext cx="5615940" cy="522605"/>
                        </a:xfrm>
                        <a:prstGeom prst="rect">
                          <a:avLst/>
                        </a:prstGeom>
                        <a:noFill/>
                        <a:ln w="9525">
                          <a:noFill/>
                        </a:ln>
                      </wps:spPr>
                      <wps:txbx>
                        <w:txbxContent>
                          <w:p>
                            <w:pPr>
                              <w:spacing w:line="0" w:lineRule="atLeast"/>
                              <w:rPr>
                                <w:rFonts w:ascii="Times New Roman" w:hAnsi="Times New Roman" w:eastAsia="宋体"/>
                                <w:sz w:val="2"/>
                                <w:szCs w:val="2"/>
                              </w:rPr>
                            </w:pPr>
                            <w:bookmarkStart w:id="0" w:name="gongkai"/>
                            <w:r>
                              <w:rPr>
                                <w:rFonts w:ascii="Times New Roman" w:hAnsi="Times New Roman" w:eastAsia="宋体"/>
                                <w:sz w:val="2"/>
                                <w:szCs w:val="2"/>
                              </w:rPr>
                              <w:t xml:space="preserve"> </w:t>
                            </w:r>
                            <w:bookmarkEnd w:id="0"/>
                          </w:p>
                          <w:p>
                            <w:pPr>
                              <w:spacing w:line="0" w:lineRule="atLeast"/>
                              <w:rPr>
                                <w:rFonts w:ascii="Times New Roman" w:hAnsi="Times New Roman" w:eastAsia="宋体"/>
                                <w:sz w:val="2"/>
                                <w:szCs w:val="2"/>
                              </w:rPr>
                            </w:pPr>
                          </w:p>
                        </w:txbxContent>
                      </wps:txbx>
                      <wps:bodyPr wrap="square" lIns="0" tIns="0" rIns="0" bIns="90000" upright="true">
                        <a:spAutoFit/>
                      </wps:bodyPr>
                    </wps:wsp>
                  </a:graphicData>
                </a:graphic>
              </wp:anchor>
            </w:drawing>
          </mc:Choice>
          <mc:Fallback>
            <w:pict>
              <v:shape id="文本框 17" o:spid="_x0000_s1026" o:spt="202" type="#_x0000_t202" style="position:absolute;left:0pt;margin-left:-9.7pt;margin-top:662.35pt;height:41.15pt;width:442.2pt;mso-position-vertical-relative:margin;z-index:251662336;mso-width-relative:page;mso-height-relative:page;" filled="f" stroked="f" coordsize="21600,21600" o:gfxdata="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Ly+Hl2wAAAA0BAAAP&#10;AAAAAAAAAAEAIAAAADgAAABkcnMvZG93bnJldi54bWxQSwECFAAUAAAACACHTuJAyqusg8YBAABg&#10;AwAADgAAAAAAAAABACAAAABAAQAAZHJzL2Uyb0RvYy54bWxQSwUGAAAAAAYABgBZAQAAeAUAAAAA&#10;">
                <v:fill on="f" focussize="0,0"/>
                <v:stroke on="f"/>
                <v:imagedata o:title=""/>
                <o:lock v:ext="edit" aspectratio="f"/>
                <v:textbox inset="0mm,0mm,0mm,2.5mm" style="mso-fit-shape-to-text:t;">
                  <w:txbxContent>
                    <w:p>
                      <w:pPr>
                        <w:spacing w:line="0" w:lineRule="atLeast"/>
                        <w:rPr>
                          <w:rFonts w:ascii="Times New Roman" w:hAnsi="Times New Roman" w:eastAsia="宋体"/>
                          <w:sz w:val="2"/>
                          <w:szCs w:val="2"/>
                        </w:rPr>
                      </w:pPr>
                      <w:bookmarkStart w:id="0" w:name="gongkai"/>
                      <w:r>
                        <w:rPr>
                          <w:rFonts w:ascii="Times New Roman" w:hAnsi="Times New Roman" w:eastAsia="宋体"/>
                          <w:sz w:val="2"/>
                          <w:szCs w:val="2"/>
                        </w:rPr>
                        <w:t xml:space="preserve"> </w:t>
                      </w:r>
                      <w:bookmarkEnd w:id="0"/>
                    </w:p>
                    <w:p>
                      <w:pPr>
                        <w:spacing w:line="0" w:lineRule="atLeast"/>
                        <w:rPr>
                          <w:rFonts w:ascii="Times New Roman" w:hAnsi="Times New Roman" w:eastAsia="宋体"/>
                          <w:sz w:val="2"/>
                          <w:szCs w:val="2"/>
                        </w:rPr>
                      </w:pPr>
                    </w:p>
                  </w:txbxContent>
                </v:textbox>
              </v:shape>
            </w:pict>
          </mc:Fallback>
        </mc:AlternateContent>
      </w:r>
    </w:p>
    <w:sectPr>
      <w:footerReference r:id="rId5" w:type="first"/>
      <w:footerReference r:id="rId3" w:type="default"/>
      <w:footerReference r:id="rId4" w:type="even"/>
      <w:pgSz w:w="11906" w:h="16838"/>
      <w:pgMar w:top="1440" w:right="1417" w:bottom="1440" w:left="1417" w:header="851" w:footer="992" w:gutter="0"/>
      <w:pgNumType w:fmt="numberInDash" w:start="2"/>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小标宋">
    <w:altName w:val="方正小标宋_GBK"/>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8764048"/>
      <w:docPartObj>
        <w:docPartGallery w:val="autotext"/>
      </w:docPartObj>
    </w:sdtPr>
    <w:sdtEndPr>
      <w:rPr>
        <w:sz w:val="28"/>
      </w:rPr>
    </w:sdtEndPr>
    <w:sdtContent>
      <w:p>
        <w:pPr>
          <w:pStyle w:val="5"/>
          <w:jc w:val="right"/>
          <w:rPr>
            <w:sz w:val="28"/>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1 -</w:t>
        </w:r>
        <w:r>
          <w:rPr>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6158588"/>
      <w:docPartObj>
        <w:docPartGallery w:val="autotext"/>
      </w:docPartObj>
    </w:sdtPr>
    <w:sdtEndPr>
      <w:rPr>
        <w:sz w:val="20"/>
      </w:rPr>
    </w:sdtEndPr>
    <w:sdtContent>
      <w:p>
        <w:pPr>
          <w:pStyle w:val="5"/>
          <w:rPr>
            <w:sz w:val="20"/>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2 -</w:t>
        </w:r>
        <w:r>
          <w:rPr>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6583D"/>
    <w:multiLevelType w:val="singleLevel"/>
    <w:tmpl w:val="B21658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A4"/>
    <w:rsid w:val="00112F19"/>
    <w:rsid w:val="001E1E71"/>
    <w:rsid w:val="00236737"/>
    <w:rsid w:val="00253DFD"/>
    <w:rsid w:val="00276C07"/>
    <w:rsid w:val="002966DA"/>
    <w:rsid w:val="002D59D8"/>
    <w:rsid w:val="002E7195"/>
    <w:rsid w:val="002F7BB7"/>
    <w:rsid w:val="003211B5"/>
    <w:rsid w:val="00341227"/>
    <w:rsid w:val="00351A21"/>
    <w:rsid w:val="00372ED5"/>
    <w:rsid w:val="0044413B"/>
    <w:rsid w:val="0045369F"/>
    <w:rsid w:val="004A2E3A"/>
    <w:rsid w:val="00513220"/>
    <w:rsid w:val="00620E31"/>
    <w:rsid w:val="007A3E7B"/>
    <w:rsid w:val="007F152F"/>
    <w:rsid w:val="00905A55"/>
    <w:rsid w:val="00A7655E"/>
    <w:rsid w:val="00A836A4"/>
    <w:rsid w:val="00B13FC4"/>
    <w:rsid w:val="00BB3DB8"/>
    <w:rsid w:val="00C64CF9"/>
    <w:rsid w:val="00C94FBC"/>
    <w:rsid w:val="00EF03BA"/>
    <w:rsid w:val="00F4242C"/>
    <w:rsid w:val="00F64A04"/>
    <w:rsid w:val="00FF5BF5"/>
    <w:rsid w:val="0FF6EA0B"/>
    <w:rsid w:val="1B5F7D85"/>
    <w:rsid w:val="1BBDE50E"/>
    <w:rsid w:val="21B97EBC"/>
    <w:rsid w:val="2DBF3FF1"/>
    <w:rsid w:val="2F474EB5"/>
    <w:rsid w:val="2F9F7458"/>
    <w:rsid w:val="38FFFC0A"/>
    <w:rsid w:val="3EBF0002"/>
    <w:rsid w:val="3FAD36DB"/>
    <w:rsid w:val="5DFFDB8F"/>
    <w:rsid w:val="5FB7300D"/>
    <w:rsid w:val="656FD24B"/>
    <w:rsid w:val="6D0B64AF"/>
    <w:rsid w:val="75E7B9C8"/>
    <w:rsid w:val="76F24C7A"/>
    <w:rsid w:val="7A5F7644"/>
    <w:rsid w:val="7A7E80BB"/>
    <w:rsid w:val="7AF3B1EE"/>
    <w:rsid w:val="7AFA46E7"/>
    <w:rsid w:val="7CFF307F"/>
    <w:rsid w:val="7D37FCD6"/>
    <w:rsid w:val="7DF68AE8"/>
    <w:rsid w:val="7FFDE0E1"/>
    <w:rsid w:val="7FFFAEFF"/>
    <w:rsid w:val="8DE4184E"/>
    <w:rsid w:val="9DD6A33E"/>
    <w:rsid w:val="A8EF4A63"/>
    <w:rsid w:val="B9FF0D72"/>
    <w:rsid w:val="BDFF703B"/>
    <w:rsid w:val="BFBE5A0F"/>
    <w:rsid w:val="BFFF23E4"/>
    <w:rsid w:val="D7BB3AAE"/>
    <w:rsid w:val="DBFDDC9B"/>
    <w:rsid w:val="DDF7E3E7"/>
    <w:rsid w:val="E7AF7749"/>
    <w:rsid w:val="E7B64DE1"/>
    <w:rsid w:val="E8BBAF05"/>
    <w:rsid w:val="EFDB1D81"/>
    <w:rsid w:val="F4B7CABF"/>
    <w:rsid w:val="F7FD17B5"/>
    <w:rsid w:val="FDAE2A05"/>
    <w:rsid w:val="FDDFF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line="0" w:lineRule="atLeast"/>
    </w:pPr>
    <w:rPr>
      <w:rFonts w:eastAsia="小标宋"/>
      <w:sz w:val="44"/>
      <w:szCs w:val="32"/>
    </w:rPr>
  </w:style>
  <w:style w:type="paragraph" w:styleId="3">
    <w:name w:val="Date"/>
    <w:basedOn w:val="1"/>
    <w:next w:val="1"/>
    <w:link w:val="15"/>
    <w:unhideWhenUsed/>
    <w:qFormat/>
    <w:uiPriority w:val="99"/>
    <w:pPr>
      <w:ind w:left="100" w:leftChars="2500"/>
    </w:pPr>
    <w:rPr>
      <w:rFonts w:ascii="Times New Roman" w:hAnsi="Times New Roman" w:eastAsia="宋体"/>
      <w:sz w:val="21"/>
      <w:szCs w:val="20"/>
    </w:rPr>
  </w:style>
  <w:style w:type="paragraph" w:styleId="4">
    <w:name w:val="Balloon Text"/>
    <w:basedOn w:val="1"/>
    <w:link w:val="16"/>
    <w:unhideWhenUsed/>
    <w:qFormat/>
    <w:uiPriority w:val="99"/>
    <w:rPr>
      <w:rFonts w:ascii="Times New Roman" w:hAnsi="Times New Roman" w:eastAsia="宋体"/>
      <w:sz w:val="18"/>
      <w:szCs w:val="18"/>
    </w:rPr>
  </w:style>
  <w:style w:type="paragraph" w:styleId="5">
    <w:name w:val="footer"/>
    <w:basedOn w:val="1"/>
    <w:link w:val="14"/>
    <w:qFormat/>
    <w:uiPriority w:val="0"/>
    <w:pPr>
      <w:tabs>
        <w:tab w:val="center" w:pos="4153"/>
        <w:tab w:val="right" w:pos="8306"/>
      </w:tabs>
      <w:snapToGrid w:val="0"/>
      <w:jc w:val="left"/>
    </w:pPr>
    <w:rPr>
      <w:rFonts w:ascii="Times New Roman" w:hAnsi="Times New Roman" w:eastAsia="宋体"/>
      <w:sz w:val="18"/>
      <w:szCs w:val="20"/>
    </w:rPr>
  </w:style>
  <w:style w:type="paragraph" w:styleId="6">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sz w:val="18"/>
      <w:szCs w:val="20"/>
    </w:rPr>
  </w:style>
  <w:style w:type="table" w:styleId="8">
    <w:name w:val="Table Grid"/>
    <w:basedOn w:val="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正文文本 Char"/>
    <w:link w:val="2"/>
    <w:qFormat/>
    <w:uiPriority w:val="0"/>
    <w:rPr>
      <w:rFonts w:ascii="宋体" w:hAnsi="宋体" w:eastAsia="小标宋" w:cs="Times New Roman"/>
      <w:sz w:val="44"/>
      <w:szCs w:val="32"/>
    </w:rPr>
  </w:style>
  <w:style w:type="character" w:customStyle="1" w:styleId="12">
    <w:name w:val="正文文本 Char1"/>
    <w:basedOn w:val="9"/>
    <w:semiHidden/>
    <w:qFormat/>
    <w:uiPriority w:val="99"/>
    <w:rPr>
      <w:rFonts w:ascii="宋体" w:hAnsi="宋体" w:eastAsia="仿宋_GB2312" w:cs="Times New Roman"/>
      <w:sz w:val="32"/>
    </w:rPr>
  </w:style>
  <w:style w:type="character" w:customStyle="1" w:styleId="13">
    <w:name w:val="页眉 Char"/>
    <w:basedOn w:val="9"/>
    <w:link w:val="6"/>
    <w:qFormat/>
    <w:uiPriority w:val="0"/>
    <w:rPr>
      <w:rFonts w:ascii="Times New Roman" w:hAnsi="Times New Roman" w:eastAsia="宋体" w:cs="Times New Roman"/>
      <w:sz w:val="18"/>
      <w:szCs w:val="20"/>
    </w:rPr>
  </w:style>
  <w:style w:type="character" w:customStyle="1" w:styleId="14">
    <w:name w:val="页脚 Char"/>
    <w:basedOn w:val="9"/>
    <w:link w:val="5"/>
    <w:qFormat/>
    <w:uiPriority w:val="99"/>
    <w:rPr>
      <w:rFonts w:ascii="Times New Roman" w:hAnsi="Times New Roman" w:eastAsia="宋体" w:cs="Times New Roman"/>
      <w:sz w:val="18"/>
      <w:szCs w:val="20"/>
    </w:rPr>
  </w:style>
  <w:style w:type="character" w:customStyle="1" w:styleId="15">
    <w:name w:val="日期 Char"/>
    <w:basedOn w:val="9"/>
    <w:link w:val="3"/>
    <w:semiHidden/>
    <w:qFormat/>
    <w:uiPriority w:val="99"/>
    <w:rPr>
      <w:rFonts w:ascii="Times New Roman" w:hAnsi="Times New Roman" w:eastAsia="宋体" w:cs="Times New Roman"/>
      <w:szCs w:val="20"/>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customStyle="1" w:styleId="17">
    <w:name w:val="font11"/>
    <w:basedOn w:val="9"/>
    <w:qFormat/>
    <w:uiPriority w:val="0"/>
    <w:rPr>
      <w:rFonts w:hint="default" w:ascii="Times New Roman" w:hAnsi="Times New Roman" w:cs="Times New Roman"/>
      <w:color w:val="000000"/>
      <w:sz w:val="21"/>
      <w:szCs w:val="21"/>
      <w:u w:val="none"/>
    </w:rPr>
  </w:style>
  <w:style w:type="character" w:customStyle="1" w:styleId="18">
    <w:name w:val="font31"/>
    <w:basedOn w:val="9"/>
    <w:qFormat/>
    <w:uiPriority w:val="0"/>
    <w:rPr>
      <w:rFonts w:hint="eastAsia" w:ascii="宋体" w:hAnsi="宋体" w:eastAsia="宋体" w:cs="宋体"/>
      <w:color w:val="000000"/>
      <w:sz w:val="21"/>
      <w:szCs w:val="21"/>
      <w:u w:val="none"/>
    </w:rPr>
  </w:style>
  <w:style w:type="character" w:customStyle="1" w:styleId="19">
    <w:name w:val="font4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2802</Words>
  <Characters>15972</Characters>
  <Lines>133</Lines>
  <Paragraphs>37</Paragraphs>
  <TotalTime>0</TotalTime>
  <ScaleCrop>false</ScaleCrop>
  <LinksUpToDate>false</LinksUpToDate>
  <CharactersWithSpaces>18737</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2020-08-17T17:22:00Z</dcterms:created>
  <dc:creator>Administrator</dc:creator>
  <cp:lastModifiedBy>lenovo</cp:lastModifiedBy>
  <cp:lastPrinted>2023-02-25T11:44:00Z</cp:lastPrinted>
  <dcterms:modified xsi:type="dcterms:W3CDTF">2023-07-14T16:15:16Z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