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CESI黑体-GB2312" w:hAnsi="CESI黑体-GB2312" w:eastAsia="CESI黑体-GB2312" w:cs="CESI黑体-GB2312"/>
          <w:sz w:val="32"/>
          <w:szCs w:val="32"/>
          <w:highlight w:val="none"/>
        </w:rPr>
      </w:pPr>
    </w:p>
    <w:p>
      <w:pPr>
        <w:jc w:val="center"/>
        <w:rPr>
          <w:rFonts w:hint="eastAsia" w:ascii="Times New Roman" w:hAnsi="Times New Roman" w:eastAsia="方正小标宋简体" w:cs="Times New Roman"/>
          <w:sz w:val="44"/>
          <w:szCs w:val="44"/>
          <w:highlight w:val="none"/>
          <w:lang w:eastAsia="zh-CN"/>
        </w:rPr>
      </w:pPr>
      <w:r>
        <w:rPr>
          <w:rFonts w:hint="eastAsia" w:ascii="Times New Roman" w:hAnsi="Times New Roman" w:eastAsia="方正小标宋简体" w:cs="Times New Roman"/>
          <w:sz w:val="44"/>
          <w:szCs w:val="44"/>
          <w:highlight w:val="none"/>
          <w:lang w:eastAsia="zh-CN"/>
        </w:rPr>
        <w:t>广</w:t>
      </w:r>
      <w:r>
        <w:rPr>
          <w:rFonts w:hint="eastAsia" w:ascii="Times New Roman" w:hAnsi="Times New Roman" w:eastAsia="方正小标宋简体" w:cs="Times New Roman"/>
          <w:sz w:val="44"/>
          <w:szCs w:val="44"/>
          <w:highlight w:val="none"/>
          <w:lang w:val="en-US" w:eastAsia="zh-CN"/>
        </w:rPr>
        <w:t>州</w:t>
      </w:r>
      <w:r>
        <w:rPr>
          <w:rFonts w:hint="default" w:ascii="Times New Roman" w:hAnsi="Times New Roman" w:eastAsia="方正小标宋简体" w:cs="Times New Roman"/>
          <w:sz w:val="44"/>
          <w:szCs w:val="44"/>
          <w:highlight w:val="none"/>
        </w:rPr>
        <w:t>市社科规划课题结项名单</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2024年12月</w:t>
      </w:r>
      <w:r>
        <w:rPr>
          <w:rFonts w:hint="eastAsia" w:ascii="Times New Roman" w:hAnsi="Times New Roman" w:eastAsia="方正小标宋简体" w:cs="Times New Roman"/>
          <w:sz w:val="44"/>
          <w:szCs w:val="4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Cs/>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2024年度</w:t>
      </w:r>
      <w:r>
        <w:rPr>
          <w:rFonts w:hint="eastAsia" w:ascii="Times New Roman" w:hAnsi="Times New Roman" w:eastAsia="黑体" w:cs="Times New Roman"/>
          <w:bCs/>
          <w:sz w:val="32"/>
          <w:szCs w:val="32"/>
          <w:highlight w:val="none"/>
          <w:lang w:eastAsia="zh-CN"/>
        </w:rPr>
        <w:t>市委市政府重大课题</w:t>
      </w:r>
      <w:r>
        <w:rPr>
          <w:rFonts w:hint="default" w:ascii="Times New Roman" w:hAnsi="Times New Roman" w:eastAsia="黑体" w:cs="Times New Roman"/>
          <w:bCs/>
          <w:sz w:val="32"/>
          <w:szCs w:val="32"/>
          <w:highlight w:val="none"/>
        </w:rPr>
        <w:t>结项名单</w:t>
      </w:r>
    </w:p>
    <w:tbl>
      <w:tblPr>
        <w:tblStyle w:val="7"/>
        <w:tblW w:w="525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55"/>
        <w:gridCol w:w="1866"/>
        <w:gridCol w:w="3641"/>
        <w:gridCol w:w="997"/>
        <w:gridCol w:w="1696"/>
        <w:gridCol w:w="11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tblHeader/>
          <w:jc w:val="center"/>
        </w:trPr>
        <w:tc>
          <w:tcPr>
            <w:tcW w:w="233"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序号</w:t>
            </w:r>
          </w:p>
        </w:tc>
        <w:tc>
          <w:tcPr>
            <w:tcW w:w="955"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课题编号</w:t>
            </w:r>
          </w:p>
        </w:tc>
        <w:tc>
          <w:tcPr>
            <w:tcW w:w="1863"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课题名称</w:t>
            </w:r>
          </w:p>
        </w:tc>
        <w:tc>
          <w:tcPr>
            <w:tcW w:w="510"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负责人</w:t>
            </w:r>
          </w:p>
        </w:tc>
        <w:tc>
          <w:tcPr>
            <w:tcW w:w="868"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单位</w:t>
            </w:r>
          </w:p>
        </w:tc>
        <w:tc>
          <w:tcPr>
            <w:tcW w:w="569"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评审</w:t>
            </w:r>
          </w:p>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2024GZZD01</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广州建设中心型世界城市研究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叶林</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中山大学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2024GZZD02</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广州建设中心型世界城市研究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文宏</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2024GZZD28</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广州以“三脉”“三轴”“三核”为重点优化提升城市空间格局研究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王世福</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4</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2024GZZD30</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广州推动《南沙方案》落地落实的痛点难点与对策思路研究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胡军</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暨南大学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5</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2024GZZD20</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广州把握国家金融高水平开放新机遇、高水平建设风投创投集聚区研究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刘佳宁</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广东省社会科学院</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6</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2024GZZD21</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广州招商引资体制机制改革创新研究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揭昊</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7</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2024GZZD26</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广州城市品牌塑造与传播研究——以中国式现代化背景下中心型世界城市为例</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伍庆</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8</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2024GZZD38</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加快推进新型工业化，建设先进制造业强市研究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陈刚</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9</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2024GZZD10</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广州推动《南沙方案》落地落实的痛点难点与对策思路研究：从城市新区走向湾区之心</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孟梦</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10</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2024GZZD17</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广州把握国家金融高水平开放新机遇、高水平建设风投创投集聚区研究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刘勇军</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11</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2024GZZD29</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广州城市品牌塑造与传播研究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 xml:space="preserve">吴志才 </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12</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2024GZZD06</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广州加快形成新质生产力的实现路径研究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刘金山</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暨南大学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13</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2024GZZD11</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广州推动《南沙方案》落地落实的痛点难点与对策思路研究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王鹏</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暨南大学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14</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2024GZZD18</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广州把握国家金融高水平开放新机遇、高水平建设风投创投集聚区研究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陈创练</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暨南大学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15</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2024GZZD24</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广州城市品牌价值挖掘与传播效能提升研究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林仲轩</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暨南大学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16</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2024GZZD03</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广州建设中心型世界城市研究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赵龙跃</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广东外语外贸大学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17</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2024GZZD07</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广州加快形成新质生产力的实现路径研究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韩永辉</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广东外语外贸大学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18</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2024GZZD32</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广州招商引资体制机制改革创新研究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何传添</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广东外语外贸大学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19</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2024GZZD33</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广州把握国家金融高水平开放新机遇、高水平建设风投创投集聚区研究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王俊</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广东外语外贸大学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2024GZZD19</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广州把握国家金融高水平开放新机遇、高水平建设风投创投集聚区研究——基于政府引导基金视角</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张慧雪</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广东财经大学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21</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2024GZZD14</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加快推进新型工业化，建设先进制造业强市研究——以广州市人形机器人产业助推制造业高质量发展</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黄敏聪</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广东省科技图书馆</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22</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2024GZZD04</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广州建设中心型世界城市研究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廖胜华</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广东省社会科学院</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23</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2024GZZD15</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加快推进新型工业化，建设先进制造业强市研究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张仁寿</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24</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2024GZZD09</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广州以“三脉”“三轴”“三核”为重点优化提升城市空间格局研究：基于湾区跨界合作的视角</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姚江春</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广州市城市规划勘测设计研究院有限公司</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25</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2024GZZD16</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加快推进新型工业化，建设先进制造业强市研究——以汽车制造业为例</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蒋丽</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26</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2024GZZD37</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广州建设中心型世界城市研究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覃剑</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27</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2024GZZD22</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广州招商引资体制机制改革创新研究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吴兆春</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中共广州市委党校</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28</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2024GZZD36</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广州城市品牌塑造与传播研究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孟源北</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中共广州市委党校</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29</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2024GZZD27</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广州加快形成新质生产力的实现路径研究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毛艳华</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中山大学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30</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2024GZZD05</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广州加快形成新质生产力的实现路径研究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贺建风</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31</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2024GZZD23</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广州城市品牌塑造与传播研究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段淳林</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32</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2024GZZD31</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广州加快形成新质生产力的实现路径研究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段伟</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华南农业大学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33</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2024GZZD08</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广州加快形成新质生产力的实现路径研究：基于“数实融合”的视角</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王艳</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广东外语外贸大学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34</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2024GZZD25</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广州城市品牌塑造与传播研究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刘超</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广东外语外贸大学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35</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2024GZZD13</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数智化新引擎赋能先进制造业研究——以广州为例</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杜宾</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广东财经大学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36</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2024GZZD12</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广州推动《南沙方案》落地落实的痛点难点与对策思路研究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邝磊</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37</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2024GZZD34</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广州推动《南沙方案》落地落实的痛点难点与对策思路研究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涂成林</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57" w:type="dxa"/>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38</w:t>
            </w:r>
          </w:p>
        </w:tc>
        <w:tc>
          <w:tcPr>
            <w:tcW w:w="1867"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2024GZZD35</w:t>
            </w:r>
          </w:p>
        </w:tc>
        <w:tc>
          <w:tcPr>
            <w:tcW w:w="364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广州加快形成新质生产力的实现路径研究</w:t>
            </w:r>
          </w:p>
        </w:tc>
        <w:tc>
          <w:tcPr>
            <w:tcW w:w="996"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谢颖</w:t>
            </w:r>
          </w:p>
        </w:tc>
        <w:tc>
          <w:tcPr>
            <w:tcW w:w="169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广州大学</w:t>
            </w:r>
          </w:p>
        </w:tc>
        <w:tc>
          <w:tcPr>
            <w:tcW w:w="1112" w:type="dxa"/>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三等</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Cs/>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2024年度立项</w:t>
      </w:r>
      <w:r>
        <w:rPr>
          <w:rFonts w:hint="default" w:ascii="Times New Roman" w:hAnsi="Times New Roman" w:eastAsia="黑体" w:cs="Times New Roman"/>
          <w:bCs/>
          <w:sz w:val="32"/>
          <w:szCs w:val="32"/>
          <w:highlight w:val="none"/>
        </w:rPr>
        <w:t>一般</w:t>
      </w:r>
      <w:r>
        <w:rPr>
          <w:rFonts w:hint="eastAsia" w:ascii="Times New Roman" w:hAnsi="Times New Roman" w:eastAsia="黑体" w:cs="Times New Roman"/>
          <w:bCs/>
          <w:sz w:val="32"/>
          <w:szCs w:val="32"/>
          <w:highlight w:val="none"/>
          <w:lang w:eastAsia="zh-CN"/>
        </w:rPr>
        <w:t>及羊城青年学人</w:t>
      </w:r>
      <w:r>
        <w:rPr>
          <w:rFonts w:hint="default" w:ascii="Times New Roman" w:hAnsi="Times New Roman" w:eastAsia="黑体" w:cs="Times New Roman"/>
          <w:bCs/>
          <w:sz w:val="32"/>
          <w:szCs w:val="32"/>
          <w:highlight w:val="none"/>
        </w:rPr>
        <w:t>课题结项名单</w:t>
      </w:r>
    </w:p>
    <w:tbl>
      <w:tblPr>
        <w:tblStyle w:val="7"/>
        <w:tblW w:w="543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9"/>
        <w:gridCol w:w="1331"/>
        <w:gridCol w:w="3654"/>
        <w:gridCol w:w="830"/>
        <w:gridCol w:w="1800"/>
        <w:gridCol w:w="1075"/>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tblHeader/>
          <w:jc w:val="center"/>
        </w:trPr>
        <w:tc>
          <w:tcPr>
            <w:tcW w:w="261"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序号</w:t>
            </w:r>
          </w:p>
        </w:tc>
        <w:tc>
          <w:tcPr>
            <w:tcW w:w="658"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课题编号</w:t>
            </w:r>
          </w:p>
        </w:tc>
        <w:tc>
          <w:tcPr>
            <w:tcW w:w="1808"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课题名称</w:t>
            </w:r>
          </w:p>
        </w:tc>
        <w:tc>
          <w:tcPr>
            <w:tcW w:w="410"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负责人</w:t>
            </w:r>
          </w:p>
        </w:tc>
        <w:tc>
          <w:tcPr>
            <w:tcW w:w="890"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单位</w:t>
            </w:r>
          </w:p>
        </w:tc>
        <w:tc>
          <w:tcPr>
            <w:tcW w:w="532"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lang w:eastAsia="zh-CN"/>
              </w:rPr>
            </w:pPr>
            <w:r>
              <w:rPr>
                <w:rFonts w:hint="eastAsia" w:ascii="国标宋体" w:hAnsi="国标宋体" w:eastAsia="国标宋体" w:cs="国标宋体"/>
                <w:b/>
                <w:bCs/>
                <w:color w:val="000000"/>
                <w:kern w:val="0"/>
                <w:sz w:val="20"/>
                <w:szCs w:val="20"/>
                <w:highlight w:val="none"/>
                <w:lang w:eastAsia="zh-CN"/>
              </w:rPr>
              <w:t>课题</w:t>
            </w:r>
          </w:p>
          <w:p>
            <w:pPr>
              <w:widowControl/>
              <w:spacing w:line="0" w:lineRule="atLeast"/>
              <w:contextualSpacing/>
              <w:jc w:val="center"/>
              <w:rPr>
                <w:rFonts w:hint="eastAsia" w:ascii="国标宋体" w:hAnsi="国标宋体" w:eastAsia="国标宋体" w:cs="国标宋体"/>
                <w:b/>
                <w:bCs/>
                <w:color w:val="000000"/>
                <w:kern w:val="0"/>
                <w:sz w:val="20"/>
                <w:szCs w:val="20"/>
                <w:highlight w:val="none"/>
                <w:lang w:eastAsia="zh-CN"/>
              </w:rPr>
            </w:pPr>
            <w:r>
              <w:rPr>
                <w:rFonts w:hint="eastAsia" w:ascii="国标宋体" w:hAnsi="国标宋体" w:eastAsia="国标宋体" w:cs="国标宋体"/>
                <w:b/>
                <w:bCs/>
                <w:color w:val="000000"/>
                <w:kern w:val="0"/>
                <w:sz w:val="20"/>
                <w:szCs w:val="20"/>
                <w:highlight w:val="none"/>
                <w:lang w:eastAsia="zh-CN"/>
              </w:rPr>
              <w:t>类别</w:t>
            </w:r>
          </w:p>
        </w:tc>
        <w:tc>
          <w:tcPr>
            <w:tcW w:w="437"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评审</w:t>
            </w:r>
          </w:p>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2024GZYB03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广州以新质生产力加快形成之进推动现代化产业体系实现新跃升研究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李松</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2024GZYB04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地方性银行数字化转型对结构性货币政策传导的影响研究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黄嘉</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2024GZQN07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南沙规则衔接困境形成及解决研究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周寒</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2024GZYB13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人工智能时代广州城市文化传播力提升研究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佘世红</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2024GZYB14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广州深化数据要素市场化改革、建设高标准数据市场体系的重点任务研究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廖俊峰</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广州深化金融体制改革和守住不发生系统性风险底线研究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周骐</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2024GZYB18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大湾区高水平人才高地建设中社会保障规则衔接及广州方案</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任宛立</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2024GZQN20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广州促进城中村公共文化服务建设与发展机制研究——以习近平文化思想为指引</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2024GZQN23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广州数据要素产权分置及其法律规制研究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黄细江</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2024GZYB26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广州建设青年发展型城市研究——基于多个典型城市案例的实证比较</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秦天丽</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2024GZQN02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广州城中村改造的房票安置模式评估与优化研究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孙小梅</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2024GZYB27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广州加快打造具有全球影响力的产业科技创新中心研究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杨正喜</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广州进一步深化穗港澳三地民事诉讼规则衔接研究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官隆清</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低空经济下公众接受飞行汽车的多维度关键驱动因素及协同促进策略研究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胡三根</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广州市农业文化遗产活化策略与创新规划设计路径研究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蒋怡辰</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2024GZYB42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广州市建设开放型粤港澳大湾区核心与打造双循环战略支点研究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郭晴</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广东外语外贸大学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2024GZYB45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“一带一路”背景下广州与东南亚国家共建“健康丝绸之路”的产业合作机制创新研究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唐旭阳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广东外语外贸大学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AI赋能数字文化产业技能人才高质量就业的测度与优化机制研究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黄茂勇</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产业政策对广州市企业数字化转型的影响效应、机制识别和优化路径</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任玎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2024GZYB79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广州以品牌化与产业融合抢占生命科学产业高地的潜力研究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张蔚鴒</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广州商学院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数字时代产业型城中村的长尾空间效应与治理路径研究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高慧智</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广州市城市规划勘测设计研究院有限公司</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广州市人口高质量发展的战略思路、路径与对策建议</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宁超乔</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广州积极抢占人形机器人未来产业新赛道研究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陈旭佳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海洋牧场发展的模式创新及路径选择——基于广州的研究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易卫华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cs="Times New Roman"/>
                <w:color w:val="00000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广州市实施“百千万工程”的乡村产业体系构建研究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胡晓群</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以新质生产力加快形成之进推动广州汽车产业实现新跃升研究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巫细波</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广州以城中村改造之进推动城市环境品质实现新跃升研究：基于优化城市治理体系视角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赵竹茵</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高水平对外开放背景下广州建设“一带一路”重要枢纽城市研究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胡泓媛</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2024GZQN87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广州产业版营商环境改革：逻辑进路与政策意涵</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闫志攀</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2024GZQN90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国际碳关税对广州的影响及对策研究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李杨</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中共广州市委党校</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数字化转型提升工业企业高质量创新绩效的机制与路径研究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吴映玉</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仲恺农业工程学院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2024GZYB01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“走在前列”精神指引下广州南沙自贸试验区高质量发展实践研究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史欣向</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2024GZYB02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广州在粤港澳大湾区高水平人才高地建设战略中的城市定位与海外人才引进路径研究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张雪帆</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2024GZYB05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人口高质量发展与超大城市老龄化问题研究——广州市社区居家养老服务体系发展的现状、问题与对策研究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刘晔</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2024GZQN01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广州东部中心转型升级研究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张弛</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2024GZQN03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广州打造展示中华民族现代文明城市窗口的话语传播路径研究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陈钿莹</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2024GZQN04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超大城市养老服务高质量发展的实现路径及对策研究——以广州为例</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杨玲</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2024GZQN05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以优化职住关系助力广州建设青年发展型城市研究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文萍</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2024GZQN06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教育优质均衡背景下集团化办学的治理优化研究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徐淑芹</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中山大学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2024GZYB08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广州跨（行政）边界地区空间政策实施评估与治理优化策略研究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贺璟寰</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2024GZYB09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广州加快实现老城市新活力中岭南文化国际影响力提升策略研究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彭小兰</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2024GZYB10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广州群众体育发展引领粤港澳大湾区开放型核心引擎构建的路径研究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高晓波</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2024GZYB11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广州展示中华民族现代文明的路径研究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李小华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2024GZYB12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经营性治理对推动经济纵深扩展的机制与路径研究——以广州高水平实施“百千万工程”为例</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陈永明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2024GZQN09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在推进中国式现代化中走在前列的广州实践研究——基于发挥新型政党制度优势的实践成效维度</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安园园</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广州产业版营商环境改革下企业行政合规建设的法治保障研究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陈家勋</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差异化城中村改造模式与城市环境品质提升对策研究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赵楠楠</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基于文化效益影响机制的海珠湿地设计优化策略研究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陈梦芸</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加快构建生育友好型社会推动幸福广州建设实现新跃升研究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黄嘉文</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以城市治理现代化之进推动平安广州法治广州建设实现新跃升研究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林仁镇</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广州数字时尚产业高质量发展研究 ——基于AIGC技术与岭南服饰文化的双重赋能路径</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秦臻</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2024GZYB19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广州促进数字经济与实体经济深度融合研究——基于效率改进与产业链升级的视角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刘慧悦</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2024GZYB20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建构广州市民可持续消费绿色生活方式，推动广州绿色化转型发展</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李斌</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2024GZYB21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广州数字文化产业高质量发展研究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于小涵</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国际化街区建设中广州文化生态资源保护的现实困境及其应对策略</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王坚</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2024GZQN21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广州建设开放型粤港澳大湾区核心研究——粤港澳大湾区跨境数据流动机制研究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胡洁怡</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2024GZYB24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“数字化转型”背景下广州工业企业劳动者技能转型机制与优化路径研究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吴小芳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2024GZYB25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以普惠型家教服务缓解广州家长教育焦虑的路径研究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余晖</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2024GZQN25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数字传播视域下广州打造展示中华现代文明窗口的现状与策略研究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曾李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2024GZQN27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广州市城乡义务教育师资优质均衡现状调查及供给侧改革路径研究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张云婷</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2024GZYB28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广州数字营商环境评估测算及优化政策研究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郑浩生</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2024GZYB30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广州宜居韧性智慧城市建设研究——面向极端天气的智慧城市韧性提升机制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方敏</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2024GZQN29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工业企业数字化转型过程及生态适应研究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彭秋萍</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社会资本在全域土地综合整治中的作用机制与策略研究：以广州市为案例</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李玮</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绿美广州生态建设背景下城市更新的生态福祉提升策略研究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孙传谆</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以“积极老龄化”促进广州市人口高质量发展的路径研究 ——基于与国内外超大城市的比较</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杨明旭</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2024GZYB35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文化产业赋能广州城市更新研究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谢涤湘</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2024GZYB36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数字技术驱动制造企业新质生产力的微观机制：基于生产要素配置图谱及图深度学习方法</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艾丹祥</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2024GZYB37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数实融合助推广州现代化产业体系新跃迁研究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张少华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2024GZYB38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数字化转型背景下数据要素投入对企业高质量发展影响机理及路径研究：多重均衡视角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曾庆铎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2024GZYB39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基于偏向性技术进步引导的广州制造业先进技术自主发展路径和政策研究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左晖</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广州市打造具有全球影响力的产业科技创新中心的战略与实施路径研究：创新合作网络视角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谭晓霞</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广州建设青年发展型城市研究：高技能青年流动人才的生活质量与稳定居留促进</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刘达</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广东工业大学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2024GZYB43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广州高水平实施百千万工程：农村网商的线上社会资本构建与利用策略</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周萍</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广东外语外贸大学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广州市环境规制与全面绿色转型：能源偏向型技术进步视角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广东外语外贸大学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党建统合：整体性治理与社区服务高质量发展研究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朱侃</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广东外语外贸大学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广州建设“一带一路”重要枢纽城市研究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张帆</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广东外语外贸大学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广州建设青年发展型城市研究：青年流动人口的空间需求、城市融入效应与规划响应策略</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广东外语外贸大学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2024GZYB47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广州城中村改造“依法征收、净地出让”新模式财政风险防控研究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谢颖</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广东财经大学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2024GZYB48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以“百千万工程”实施之进推动经济纵深拓展实现新跃升研究：基于绩效评价的视角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刘畅</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广东财经大学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新质生产力赋能广州产业向“新”提“质”的机制与路径研究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徐文燕</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广东财经大学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加快低空经济的发展促进现代化产业体系实现新跃升研究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张莉</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广东财经大学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广州市建筑领域碳排放总量和强度双控路径研究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黄海燕</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2024GZQN50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生成式人工智能驱动下的人机协作机制与产业演化路径研究 ——基于广州本土企业数据</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孙玮</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2024GZQN51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文化强市建设背景下广州公共文化服务的数智化转型需求与设计策略研究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王样</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2024GZQN52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数据权益的知识产权保护模式研究——探索数据保护“广州模式”</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沈成燕</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2024GZQN53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广州数字文化产业“走出去”路径及效应研究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钟晓君</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广州推动工业企业数字化转型研究：成效、障碍与政策建议</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容宇恩</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广东第二师范学院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打造人文经济学的广州范例研究  ——广州高质量发展视域下文脉与商脉融合发展的思考</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陈杰英</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广东金融学院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金融化与企业数字化转型：影响机理与政策优化研究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任晓怡</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广东金融学院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蓝色金融支持广州海洋创新发展之都建设的路径研究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郑荣年</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广东金融学院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2024GZYB61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穗港澳金融法律规则衔接研究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高菲</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广东金融学院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2024GZQN65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以新质生产力赋能广州市现代化产业体系构建：机理、效应及路径选择</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谢观霞</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广东金融学院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2024GZQN66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金融科技与实体经济匹配对企业绿色转型的影响、机制与政策优化研究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吴非</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广东金融学院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2024GZQN67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以“百千万工程”实施之进推动经济纵深拓展实现新跃升研究——基于财政金融协同联动视角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王晨晨</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广东金融学院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2024GZYB62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广州优化调整重构外贸依存度研究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杨丽华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广东科学技术职业学院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2024GZQN71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广州建设青年发展型城市研究——以青年生育支持为例</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陈婷婷</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广东省人口发展研究院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2024GZYB65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着力建设习近平文化思想实践新高地  奋力谱写广州宣传思想文化事业新篇章</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罗苹</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广东省社会科学界联合会</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2024GZQN72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广州构建高水平创新联合体的优化路径研究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陈斐然</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广东省社会科学院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2024GZQN73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广州以培育发展海洋新质生产力引领打造海洋创新发展之都研究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孙小哲</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广东省社会科学院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2024GZYB66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广州建设青年发展型城市研究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林楠</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广东省团校（广东青年政治学院）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2024GZYB69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法治视域下广州探索城中村改造“依法征收、净地出让”新模式研究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余煜刚</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2024GZYB70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新时代“枫桥经验”与数字平安广州建设研究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蒋红军</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2024GZQN78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广州积极抢占未来产业新赛道布局研究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龚广祥</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2024GZQN79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广州推动工业企业“双跨+跨链联动”数字化转型的机制及路径研究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冉佳森</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2024GZQN80</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供应链重构下广州推动工业企业数字化转型的路径研究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王泽宇</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2024GZQN81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新质生产力视角下地理标志产品的数字化转型研究：以增城丝苗米为例</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林煦丹</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2024GZYB72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在推进中国式现代化中走在前列的广州文旅业高质量发展实践研究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吴开军</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广州航海学院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2024GZQN83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基于区域航运服务集群框架下南沙的独特优势与协同创新探讨</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李梦驰</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广州航海学院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2024GZQN85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AIGC赋能广州制造业高质量发展的机制与路径研究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余腾</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广州商学院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以海洋科技产业发展之进推动现代海洋创新城市建设实现新跃升研究——广州海洋科技创新网络构建研究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罗园园</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广州市城市规划勘测设计研究院有限公司</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面向建设教育强国的普通高中优质特色多样化发展路径研究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刘志刚</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广州市教育研究院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习近平外交思想引领广州对外交往实践研究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姚宜</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2024GZQN88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对标自贸港建设，以南沙金融开放推动广州深化改革开放实现新跃迁研究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李昊</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广州市社会科学院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以民生事业保障之进推动幸福广州建设实现新跃升研究：基于疾病负担的广州市健康预期寿命研究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周尚成</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广州中医药大学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2024GZYB95</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一线城市社区养老抚育共同体实现机制研究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宋阳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广州中医药大学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穗港澳跨境金融合作中的信用数据跨境流动法律规则衔接研究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黄政宗</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深圳技术大学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2024GZQN58</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新型农村集体经济助推乡村振兴的广州路径研究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林峰</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中共广东省委党校</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2024GZQN59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“百千万工程”背景下广州建强涉农数字平台加速城乡要素流动的路径研究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姚作林</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中共广东省委党校</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2024GZQN89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广州做强支撑粤港澳大湾区“一点两地”的核心引擎研究——创新功能区政策协同视角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李萌</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中共广州市委党校</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2024GZQN91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数据赋能网格化管理的运行机制、现实困境与优化策略研究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平思情</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中共广州市委党校</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广州市传统民居文化空间数字化保护研究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李伟</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仲恺农业工程学院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2024GZQN93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广州城中村改造专项债券风险防控的法治保障研究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蚁佳纯</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仲恺农业工程学院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2024GZQN11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面向2030碳达峰的广州城市社区碳排放精细化溯源与治理研究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黄祖坚</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华南理工大学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2024GZQN22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网络问政大数据赋能广州高质量党群关系研究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邓双全</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暨南大学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2024GZQN26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绿色转型视域下生态环保垂直管理改革与企业ESG表现：影响效应、作用机理与广州对策</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杜敏哲</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2024GZYB29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发挥广州核心引擎作用，促进粤港澳文化认同和人文湾区新跃升研究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徐燕琳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2024GZYB31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整体观的广州河涌绿地活力分析及提升策略研究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王婷</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2024GZYB32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数字技术赋能广州农村公共服务高质量发展：逻辑、困境与对策</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张小娟</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2024GZQN32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国际视野下广州适老化社区公共空间改造的实施路径</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周秀</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华南农业大学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2024GZYB44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绿色金融助力广州市降碳、减污与扩绿协同发展研究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展凯</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广东外语外贸大学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2024GZYB49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人口高质量发展与超大城市老龄化问题研究：基于广州老年人口与卫生资源适配性的视角</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姚卫光</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南方医科大学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云端广州府故事空间景观构建及数字文化产业高质量发展研究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刘苗苗</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2024GZQN49</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广州制造业新质人才培养路径研究：国际比较与本土实践</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骆明丹</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2024GZQN54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基于国家中小学智慧教育平台的广州市城乡基础教育扩优提质实践路径研究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张晓梅</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广东技术师范大学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广州在打造粤港澳大湾区高水平人才高地中的发展路径研究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欧小军</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广东第二师范学院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教育强国战略下广州市基础教育扩优提质行动研究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吕洪刚</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广东第二师范学院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2024GZQN61</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大湾区城市共同体框架下开展高水平人才培养的多元要素与发展路径研究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华子荀</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广东第二师范学院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2024GZYB56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广州优化数字营商环境助力产业高质量发展的机制及政策研究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陈广仁</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广东机电职业技术学院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2024GZQN63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建设学习贯彻习近平文化思想的重要实践基地研究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杜娟</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广东交通职业技术学院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141</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2024GZQN64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广州综合交通枢纽建设背景下航道管理存在的问题及对策研究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揭薇</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广东交通职业技术学院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142</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2024GZYB64</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以企业为创新主体推进国际科技合作，构建新型技术转移转化体系的路径研究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伍维维</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广东省科技合作研究促进中心</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143</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2024GZYB73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以数智化个人碳账户建设深化广州绿色化转型研究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王鹏程</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广州航海学院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144</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2024GZQN82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海洋强市目标下海洋碳汇远期收益权融资法律问题研究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陈石</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广州航海学院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145</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2024GZYB76</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广州历史文化遗存与现代城市景观融合机制与实现路径研究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刘延华</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广州理工学院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146</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2024GZYB77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重大体育赛事赋能广州城市品牌形象构建与传播路径研究——以第十五届全运会为例</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万千个</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广州美术学院</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147</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2024GZYB82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基于耦合模型的广州市降碳、减污、扩绿协同性测度研究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俞龙生</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广州市环境保护科学研究院有限公司</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148</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2024GZQN92</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广州进一步深化穗港澳三地规则衔接研究——以科技伦理审查协作与结果互认规则衔接为例</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叶岸滔</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广州医科大学</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羊城青年学人课题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149</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2024GZYB93</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极端气候背景下广州城市韧性体系构建与能力提升研究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万玲</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中共广州市委党校</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1"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w:t>
            </w:r>
          </w:p>
        </w:tc>
        <w:tc>
          <w:tcPr>
            <w:tcW w:w="65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2024GZYB97</w:t>
            </w:r>
          </w:p>
        </w:tc>
        <w:tc>
          <w:tcPr>
            <w:tcW w:w="1808"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以城市治理现代化之进推动平安广州建设实现新跃升研究</w:t>
            </w:r>
          </w:p>
        </w:tc>
        <w:tc>
          <w:tcPr>
            <w:tcW w:w="41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万端雄</w:t>
            </w:r>
          </w:p>
        </w:tc>
        <w:tc>
          <w:tcPr>
            <w:tcW w:w="890"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中国人民警察大学（广州）</w:t>
            </w:r>
          </w:p>
        </w:tc>
        <w:tc>
          <w:tcPr>
            <w:tcW w:w="532"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一般课题</w:t>
            </w:r>
          </w:p>
        </w:tc>
        <w:tc>
          <w:tcPr>
            <w:tcW w:w="437" w:type="pct"/>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三等</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Cs/>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eastAsia="zh-CN"/>
        </w:rPr>
        <w:t>往年度立项资助</w:t>
      </w:r>
      <w:r>
        <w:rPr>
          <w:rFonts w:hint="default" w:ascii="Times New Roman" w:hAnsi="Times New Roman" w:eastAsia="黑体" w:cs="Times New Roman"/>
          <w:bCs/>
          <w:sz w:val="32"/>
          <w:szCs w:val="32"/>
          <w:highlight w:val="none"/>
        </w:rPr>
        <w:t>课题结项名单</w:t>
      </w:r>
    </w:p>
    <w:tbl>
      <w:tblPr>
        <w:tblStyle w:val="7"/>
        <w:tblW w:w="5455"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3"/>
        <w:gridCol w:w="1353"/>
        <w:gridCol w:w="3633"/>
        <w:gridCol w:w="861"/>
        <w:gridCol w:w="1800"/>
        <w:gridCol w:w="1059"/>
        <w:gridCol w:w="9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2" w:hRule="atLeast"/>
          <w:tblHeader/>
          <w:jc w:val="center"/>
        </w:trPr>
        <w:tc>
          <w:tcPr>
            <w:tcW w:w="258"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序号</w:t>
            </w:r>
          </w:p>
        </w:tc>
        <w:tc>
          <w:tcPr>
            <w:tcW w:w="667"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课题编号</w:t>
            </w:r>
          </w:p>
        </w:tc>
        <w:tc>
          <w:tcPr>
            <w:tcW w:w="1792"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课题名称</w:t>
            </w:r>
          </w:p>
        </w:tc>
        <w:tc>
          <w:tcPr>
            <w:tcW w:w="424"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负责人</w:t>
            </w:r>
          </w:p>
        </w:tc>
        <w:tc>
          <w:tcPr>
            <w:tcW w:w="888"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单位</w:t>
            </w:r>
          </w:p>
        </w:tc>
        <w:tc>
          <w:tcPr>
            <w:tcW w:w="522"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lang w:eastAsia="zh-CN"/>
              </w:rPr>
            </w:pPr>
            <w:r>
              <w:rPr>
                <w:rFonts w:hint="eastAsia" w:ascii="国标宋体" w:hAnsi="国标宋体" w:eastAsia="国标宋体" w:cs="国标宋体"/>
                <w:b/>
                <w:bCs/>
                <w:color w:val="000000"/>
                <w:kern w:val="0"/>
                <w:sz w:val="20"/>
                <w:szCs w:val="20"/>
                <w:highlight w:val="none"/>
                <w:lang w:eastAsia="zh-CN"/>
              </w:rPr>
              <w:t>课题类别</w:t>
            </w:r>
          </w:p>
        </w:tc>
        <w:tc>
          <w:tcPr>
            <w:tcW w:w="446" w:type="pct"/>
            <w:noWrap w:val="0"/>
            <w:vAlign w:val="center"/>
          </w:tcPr>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评审</w:t>
            </w:r>
          </w:p>
          <w:p>
            <w:pPr>
              <w:widowControl/>
              <w:spacing w:line="0" w:lineRule="atLeast"/>
              <w:contextualSpacing/>
              <w:jc w:val="center"/>
              <w:rPr>
                <w:rFonts w:hint="eastAsia" w:ascii="国标宋体" w:hAnsi="国标宋体" w:eastAsia="国标宋体" w:cs="国标宋体"/>
                <w:b/>
                <w:bCs/>
                <w:color w:val="000000"/>
                <w:kern w:val="0"/>
                <w:sz w:val="20"/>
                <w:szCs w:val="20"/>
                <w:highlight w:val="none"/>
              </w:rPr>
            </w:pPr>
            <w:r>
              <w:rPr>
                <w:rFonts w:hint="eastAsia" w:ascii="国标宋体" w:hAnsi="国标宋体" w:eastAsia="国标宋体" w:cs="国标宋体"/>
                <w:b/>
                <w:bCs/>
                <w:color w:val="000000"/>
                <w:kern w:val="0"/>
                <w:sz w:val="20"/>
                <w:szCs w:val="20"/>
                <w:highlight w:val="none"/>
              </w:rPr>
              <w:t>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color w:val="000000"/>
                <w:kern w:val="0"/>
                <w:sz w:val="20"/>
                <w:szCs w:val="20"/>
                <w:highlight w:val="none"/>
                <w:lang w:val="en-US" w:eastAsia="zh-CN"/>
              </w:rPr>
            </w:pPr>
            <w:r>
              <w:rPr>
                <w:rFonts w:hint="eastAsia" w:ascii="国标宋体" w:hAnsi="国标宋体" w:eastAsia="国标宋体" w:cs="国标宋体"/>
                <w:i w:val="0"/>
                <w:color w:val="000000"/>
                <w:kern w:val="0"/>
                <w:sz w:val="20"/>
                <w:szCs w:val="20"/>
                <w:highlight w:val="none"/>
                <w:u w:val="none"/>
                <w:lang w:val="en-US" w:eastAsia="zh-CN" w:bidi="ar"/>
              </w:rPr>
              <w:t>1</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2023GZZK12</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加快建设广州城市发展科技创新走廊、进一步强化粤港澳大湾区核心引擎功能研究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胡光霁</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中山大学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智库课题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color w:val="000000"/>
                <w:kern w:val="0"/>
                <w:sz w:val="20"/>
                <w:szCs w:val="20"/>
                <w:highlight w:val="none"/>
                <w:lang w:val="en-US" w:eastAsia="zh-CN"/>
              </w:rPr>
            </w:pPr>
            <w:r>
              <w:rPr>
                <w:rFonts w:hint="eastAsia" w:ascii="国标宋体" w:hAnsi="国标宋体" w:eastAsia="国标宋体" w:cs="国标宋体"/>
                <w:i w:val="0"/>
                <w:color w:val="000000"/>
                <w:kern w:val="0"/>
                <w:sz w:val="20"/>
                <w:szCs w:val="20"/>
                <w:highlight w:val="none"/>
                <w:u w:val="none"/>
                <w:lang w:val="en-US" w:eastAsia="zh-CN" w:bidi="ar"/>
              </w:rPr>
              <w:t>2</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2023GZZK11</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广州加快建设以实体经济为支撑的现代化产业体系研究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罗嘉雯</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智库课题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color w:val="000000"/>
                <w:kern w:val="0"/>
                <w:sz w:val="20"/>
                <w:szCs w:val="20"/>
                <w:highlight w:val="none"/>
                <w:lang w:val="en-US" w:eastAsia="zh-CN" w:bidi="ar-SA"/>
              </w:rPr>
            </w:pPr>
            <w:r>
              <w:rPr>
                <w:rFonts w:hint="eastAsia" w:ascii="国标宋体" w:hAnsi="国标宋体" w:eastAsia="国标宋体" w:cs="国标宋体"/>
                <w:i w:val="0"/>
                <w:color w:val="000000"/>
                <w:kern w:val="0"/>
                <w:sz w:val="20"/>
                <w:szCs w:val="20"/>
                <w:highlight w:val="none"/>
                <w:u w:val="none"/>
                <w:lang w:val="en-US" w:eastAsia="zh-CN" w:bidi="ar"/>
              </w:rPr>
              <w:t>3</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2023GZYB10</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广州统筹推进碳达峰碳中和与经济社会协同发展研究：基于制造业碳减排与高质量发展的视角</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雷玉桃</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color w:val="000000"/>
                <w:kern w:val="0"/>
                <w:sz w:val="20"/>
                <w:szCs w:val="20"/>
                <w:highlight w:val="none"/>
                <w:lang w:val="en-US" w:eastAsia="zh-CN" w:bidi="ar-SA"/>
              </w:rPr>
            </w:pPr>
            <w:r>
              <w:rPr>
                <w:rFonts w:hint="eastAsia" w:ascii="国标宋体" w:hAnsi="国标宋体" w:eastAsia="国标宋体" w:cs="国标宋体"/>
                <w:i w:val="0"/>
                <w:color w:val="000000"/>
                <w:kern w:val="0"/>
                <w:sz w:val="20"/>
                <w:szCs w:val="20"/>
                <w:highlight w:val="none"/>
                <w:u w:val="none"/>
                <w:lang w:val="en-US" w:eastAsia="zh-CN" w:bidi="ar"/>
              </w:rPr>
              <w:t>4</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2020GZQN09</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风险社会背景下岭南传统风险观及其现代价值研究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尉馨元</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中共广东省委党校</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color w:val="000000"/>
                <w:kern w:val="0"/>
                <w:sz w:val="20"/>
                <w:szCs w:val="20"/>
                <w:highlight w:val="none"/>
                <w:lang w:val="en-US" w:eastAsia="zh-CN" w:bidi="ar-SA"/>
              </w:rPr>
            </w:pPr>
            <w:r>
              <w:rPr>
                <w:rFonts w:hint="eastAsia" w:ascii="国标宋体" w:hAnsi="国标宋体" w:eastAsia="国标宋体" w:cs="国标宋体"/>
                <w:i w:val="0"/>
                <w:color w:val="000000"/>
                <w:kern w:val="0"/>
                <w:sz w:val="20"/>
                <w:szCs w:val="20"/>
                <w:highlight w:val="none"/>
                <w:u w:val="none"/>
                <w:lang w:val="en-US" w:eastAsia="zh-CN" w:bidi="ar"/>
              </w:rPr>
              <w:t>5</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2020GZZD06</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南中国的曙光—— 从“广州共产党”到“中共广东支部”</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林雄辉</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广东叶剑英研究会</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重大课题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良好（免结项评审）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color w:val="000000"/>
                <w:kern w:val="0"/>
                <w:sz w:val="20"/>
                <w:szCs w:val="20"/>
                <w:highlight w:val="none"/>
                <w:lang w:val="en-US" w:eastAsia="zh-CN" w:bidi="ar-SA"/>
              </w:rPr>
            </w:pPr>
            <w:r>
              <w:rPr>
                <w:rFonts w:hint="eastAsia" w:ascii="国标宋体" w:hAnsi="国标宋体" w:eastAsia="国标宋体" w:cs="国标宋体"/>
                <w:i w:val="0"/>
                <w:color w:val="000000"/>
                <w:kern w:val="0"/>
                <w:sz w:val="20"/>
                <w:szCs w:val="20"/>
                <w:highlight w:val="none"/>
                <w:u w:val="none"/>
                <w:lang w:val="en-US" w:eastAsia="zh-CN" w:bidi="ar"/>
              </w:rPr>
              <w:t>6</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2020GZZD04</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黄埔潮——黄埔军校的共产党人与党组织</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邢照华</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重大课题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良好（免结项评审）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7</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2020GZZD08</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省港工人斗争凯歌——广州三次工人运动</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赵竹茵</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重大课题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良好（免结项评审）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8</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2023GZYB05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新时代增强广州文明传播力影响力研究——广州侨批档案诚信文化价值开发推广研究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李海涛</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中山大学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9</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2021GZDD04</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广州古地名、古街道研究：山岳名称专论</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苏若阳</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中山大学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广州大典专项课题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10</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2023GZZK05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广州建设中国式现代化先行区对策研究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徐维军</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智库课题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11</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2022GZYB30</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广州推动全面数字化转型研究：以本土传统特色制造企业为例</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张峰</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12</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2022GZYB35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广州推动城市空间布局优化研究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余亮亮</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13</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2021GZDD05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广州工业遗址保护和研究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刘晖</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广州大典专项课题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14</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2023GZZK07</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广州积极推进粤港澳大湾区建设研究：战略支点与示范地的建设策略</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钟韵</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暨南大学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智库课题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15</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2023GZYB51</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城市舆情治理在粤港澳区域协调发展中的作用与影响机制研究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罗坤瑾</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广东外语外贸大学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center"/>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16</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2022GZYB04</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广州推动共建大湾区国际科技创新中心研究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刘敏</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广东财经大学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17</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2022GZYB05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广州推进乡村振兴，推动城乡融合发展研究：基于农文旅融合创新发展视角</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刘少和</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广东财经大学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18</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2022GZYB14</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广州培育建设国际消费中心城市研究：从数字服务生态的视角</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屈韬</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广东财经大学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19</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2021GZQN11</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广州稳定和优化产业链供应链研究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曾晓文</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广东财经大学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20</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2022GZYB47</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习近平总书记关于党的历史的重要论述的核心要义与理论创新研究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陈吉鄂</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广东技术师范大学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21</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2021GZDD10</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民国广东教育资料整理与研究：广东报刊专题类</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杨雄东</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广西师范大学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广州大典专项课题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22</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2023GZYB70</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新时代广州公共安全应急框架体系研究——以“公共数据安全”为例</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张玉洁</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23</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2023GZQN65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广州加快教育强市建设研究——特大城市“因社区制宜”的普惠性学前教育公共服务供给体系建设</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武欣</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24</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2022GZZK11</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广州都市圈多层轨道交通融合发展研究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李红宝</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广州市城市规划勘测设计研究院有限公司</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智库课题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25</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2022GZYB17</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广州提升国际综合交通枢纽能级研究：构建湾区机场群核心的广州国际航空枢纽发展策略</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邓兴栋</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广州市城市规划勘测设计研究院有限公司</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26</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2023GZZK15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广州南沙加快建设面向世界的粤港澳合作平台研究：以建设中国企业“走出去”综合服务基地为视角</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伍庆</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智库课题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27</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2023GZYB85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广州市大力引进海外高层次人才的问题及对策研究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徐万君</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28</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2023GZYB88</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广州强化提升国际交往中心功能研究——以中国式现代化背景下的中心城市为视角</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鲍雨</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广州市社会科学院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29</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2022GZYB61</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广州建设市域社会治理现代化示范城市研究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陈晓运</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中共广东省委党校</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30</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2022GZYB56</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广州融入国家重大区域发展战略研究：以粤港澳大湾区商业特许经营信息披露协同机制构建为例</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陈范宏</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中南大学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31</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2021GZQN16</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岭南文化的海外发展与影响力研究：基于韩国媒体传播的大数据分析</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张薇薇</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中山大学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32</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2022GZYB52</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 xml:space="preserve">广州推进乡村振兴，推动城乡融合发展研究   </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冒亚龙</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33</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2022GZQN13</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广州加快低碳发展推动绿色化转型研究：广州绿色金融试点政策对制造业企业绿色创新的影响机制与提升效果研究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袁媛</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华南理工大学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34</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2023GZZK10</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广州加快建设以实体经济为支撑的现代化产业体系研究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陈林</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暨南大学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智库课题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35</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2022GZQN50</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广州建设世界体育名城研究：体育赛事塑造并提升城市品牌形象策略分析</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周浦</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暨南大学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36</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2022GZQN26</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百年来中国共青团的历史使命与时代价值研究：以新时代高校共青团员群体画像为例证</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温展明</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广东工业大学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37</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2021GZYB36</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广州大革命精神研究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余九林</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广东技术师范大学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38</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2022GZYB69</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保护传承岭南文化与广州城市文脉体系研究：吴松龄粤派内画艺术研究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赵婷婷</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广东技术师范大学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39</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2022GZYB49</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广州共建粤港澳大湾区高水平人才高地研究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乔锦忠</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北京师范大学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40</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2019GZYB65</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双一流视野下广州地区高校全英教学研究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彭伟强</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广东开放大学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41</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2021GZYB11</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广州加快人工智能与数字经济试验区开发建设研究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杨娟</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广东省社会科学院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42</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2022GZQN34</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广州推进海洋科技与产业发展研究：数字科技赋能海洋产业发展面临的法律问题</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宁宇</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43</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2022GZQN40</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广州建设市域社会治理现代化示范城市研究：以“可沟通城市”视角下快递员、外卖员的社会治理为中心</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李美慧</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广州大学</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44</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2022GZYB51</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广州推进乡村振兴，推动城乡融合发展研究：触媒理论视角下广州都市边缘区乡村空间发展模式探讨</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林秀弘</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广州华立学院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一般课题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45</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2022GZQN46</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广州推动城市空间布局优化研究：以增江附城河东汇城段为例</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杨舒博</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广州华立学院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46</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2020GZQN57</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岭南文化走出去语境下粤剧的英译与对外传播研究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张建秀</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广州商学院</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羊城青年学人课题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258" w:type="pct"/>
            <w:noWrap w:val="0"/>
            <w:vAlign w:val="center"/>
          </w:tcPr>
          <w:p>
            <w:pPr>
              <w:keepNext w:val="0"/>
              <w:keepLines w:val="0"/>
              <w:widowControl/>
              <w:suppressLineNumbers w:val="0"/>
              <w:jc w:val="righ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color w:val="000000"/>
                <w:kern w:val="0"/>
                <w:sz w:val="20"/>
                <w:szCs w:val="20"/>
                <w:highlight w:val="none"/>
                <w:u w:val="none"/>
                <w:lang w:val="en-US" w:eastAsia="zh-CN" w:bidi="ar"/>
              </w:rPr>
              <w:t>47</w:t>
            </w:r>
          </w:p>
        </w:tc>
        <w:tc>
          <w:tcPr>
            <w:tcW w:w="135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2023GZDD18</w:t>
            </w:r>
          </w:p>
        </w:tc>
        <w:tc>
          <w:tcPr>
            <w:tcW w:w="3633"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抗战时期粤港澳教育联动与办学互助档案文献整理与研究</w:t>
            </w:r>
          </w:p>
        </w:tc>
        <w:tc>
          <w:tcPr>
            <w:tcW w:w="861"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王海滨</w:t>
            </w:r>
          </w:p>
        </w:tc>
        <w:tc>
          <w:tcPr>
            <w:tcW w:w="1800"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广州市档案馆</w:t>
            </w:r>
          </w:p>
        </w:tc>
        <w:tc>
          <w:tcPr>
            <w:tcW w:w="1059"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广州大典专项课题</w:t>
            </w:r>
          </w:p>
        </w:tc>
        <w:tc>
          <w:tcPr>
            <w:tcW w:w="905" w:type="dxa"/>
            <w:noWrap w:val="0"/>
            <w:vAlign w:val="center"/>
          </w:tcPr>
          <w:p>
            <w:pPr>
              <w:keepNext w:val="0"/>
              <w:keepLines w:val="0"/>
              <w:widowControl/>
              <w:suppressLineNumbers w:val="0"/>
              <w:jc w:val="left"/>
              <w:textAlignment w:val="center"/>
              <w:rPr>
                <w:rFonts w:hint="eastAsia" w:ascii="国标宋体" w:hAnsi="国标宋体" w:eastAsia="国标宋体" w:cs="国标宋体"/>
                <w:i w:val="0"/>
                <w:color w:val="000000"/>
                <w:kern w:val="0"/>
                <w:sz w:val="20"/>
                <w:szCs w:val="20"/>
                <w:highlight w:val="none"/>
                <w:u w:val="none"/>
                <w:lang w:val="en-US" w:eastAsia="zh-CN" w:bidi="ar"/>
              </w:rPr>
            </w:pPr>
            <w:r>
              <w:rPr>
                <w:rFonts w:hint="eastAsia" w:ascii="国标宋体" w:hAnsi="国标宋体" w:eastAsia="国标宋体" w:cs="国标宋体"/>
                <w:i w:val="0"/>
                <w:iCs w:val="0"/>
                <w:color w:val="000000"/>
                <w:kern w:val="0"/>
                <w:sz w:val="20"/>
                <w:szCs w:val="20"/>
                <w:highlight w:val="none"/>
                <w:u w:val="none"/>
                <w:lang w:val="en-US" w:eastAsia="zh-CN" w:bidi="ar"/>
              </w:rPr>
              <w:t>合格</w:t>
            </w: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黑体" w:cs="Times New Roman"/>
          <w:bCs/>
          <w:sz w:val="32"/>
          <w:szCs w:val="32"/>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p>
    <w:p>
      <w:pPr>
        <w:jc w:val="left"/>
        <w:rPr>
          <w:rFonts w:hint="default" w:ascii="Times New Roman" w:hAnsi="Times New Roman" w:cs="Times New Roman"/>
          <w:highlight w:val="none"/>
        </w:rPr>
      </w:pPr>
      <w:r>
        <w:rPr>
          <w:rFonts w:hint="default" w:ascii="Times New Roman" w:hAnsi="Times New Roman" w:cs="Times New Roman"/>
          <w:sz w:val="20"/>
          <w:szCs w:val="32"/>
          <w:highlight w:val="none"/>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margin">
                  <wp:posOffset>8411845</wp:posOffset>
                </wp:positionV>
                <wp:extent cx="5615940" cy="522605"/>
                <wp:effectExtent l="0" t="0" r="3810" b="0"/>
                <wp:wrapNone/>
                <wp:docPr id="5" name="文本框 17"/>
                <wp:cNvGraphicFramePr/>
                <a:graphic xmlns:a="http://schemas.openxmlformats.org/drawingml/2006/main">
                  <a:graphicData uri="http://schemas.microsoft.com/office/word/2010/wordprocessingShape">
                    <wps:wsp>
                      <wps:cNvSpPr txBox="1"/>
                      <wps:spPr>
                        <a:xfrm>
                          <a:off x="0" y="0"/>
                          <a:ext cx="5615940" cy="522605"/>
                        </a:xfrm>
                        <a:prstGeom prst="rect">
                          <a:avLst/>
                        </a:prstGeom>
                        <a:noFill/>
                        <a:ln w="9525">
                          <a:noFill/>
                        </a:ln>
                      </wps:spPr>
                      <wps:txbx>
                        <w:txbxContent>
                          <w:p>
                            <w:pPr>
                              <w:spacing w:line="0" w:lineRule="atLeast"/>
                              <w:rPr>
                                <w:rFonts w:ascii="Times New Roman" w:hAnsi="Times New Roman" w:eastAsia="宋体"/>
                                <w:sz w:val="2"/>
                                <w:szCs w:val="2"/>
                              </w:rPr>
                            </w:pPr>
                            <w:bookmarkStart w:id="0" w:name="gongkai"/>
                            <w:r>
                              <w:rPr>
                                <w:rFonts w:ascii="Times New Roman" w:hAnsi="Times New Roman" w:eastAsia="宋体"/>
                                <w:sz w:val="2"/>
                                <w:szCs w:val="2"/>
                              </w:rPr>
                              <w:t xml:space="preserve"> </w:t>
                            </w:r>
                            <w:bookmarkEnd w:id="0"/>
                          </w:p>
                          <w:p>
                            <w:pPr>
                              <w:spacing w:line="0" w:lineRule="atLeast"/>
                              <w:rPr>
                                <w:rFonts w:ascii="Times New Roman" w:hAnsi="Times New Roman" w:eastAsia="宋体"/>
                                <w:sz w:val="2"/>
                                <w:szCs w:val="2"/>
                              </w:rPr>
                            </w:pPr>
                          </w:p>
                        </w:txbxContent>
                      </wps:txbx>
                      <wps:bodyPr wrap="square" lIns="0" tIns="0" rIns="0" bIns="90000" upright="1">
                        <a:spAutoFit/>
                      </wps:bodyPr>
                    </wps:wsp>
                  </a:graphicData>
                </a:graphic>
              </wp:anchor>
            </w:drawing>
          </mc:Choice>
          <mc:Fallback>
            <w:pict>
              <v:shape id="文本框 17" o:spid="_x0000_s1026" o:spt="202" type="#_x0000_t202" style="position:absolute;left:0pt;margin-left:-9.7pt;margin-top:662.35pt;height:41.15pt;width:442.2pt;mso-position-vertical-relative:margin;z-index:251659264;mso-width-relative:page;mso-height-relative:page;" filled="f" stroked="f" coordsize="21600,21600" o:gfxdata="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vL4eXbAAAADQEAAA8AAAAAAAAAAQAgAAAAOAAAAGRycy9kb3ducmV2LnhtbFBL&#10;AQIUABQAAAAIAIdO4kAoRMKw3QEAAKgDAAAOAAAAAAAAAAEAIAAAAEABAABkcnMvZTJvRG9jLnht&#10;bFBLBQYAAAAABgAGAFkBAACPBQAAAAA=&#10;">
                <v:fill on="f" focussize="0,0"/>
                <v:stroke on="f"/>
                <v:imagedata o:title=""/>
                <o:lock v:ext="edit" aspectratio="f"/>
                <v:textbox inset="0mm,0mm,0mm,2.5mm" style="mso-fit-shape-to-text:t;">
                  <w:txbxContent>
                    <w:p>
                      <w:pPr>
                        <w:spacing w:line="0" w:lineRule="atLeast"/>
                        <w:rPr>
                          <w:rFonts w:ascii="Times New Roman" w:hAnsi="Times New Roman" w:eastAsia="宋体"/>
                          <w:sz w:val="2"/>
                          <w:szCs w:val="2"/>
                        </w:rPr>
                      </w:pPr>
                      <w:bookmarkStart w:id="0" w:name="gongkai"/>
                      <w:r>
                        <w:rPr>
                          <w:rFonts w:ascii="Times New Roman" w:hAnsi="Times New Roman" w:eastAsia="宋体"/>
                          <w:sz w:val="2"/>
                          <w:szCs w:val="2"/>
                        </w:rPr>
                        <w:t xml:space="preserve"> </w:t>
                      </w:r>
                      <w:bookmarkEnd w:id="0"/>
                    </w:p>
                    <w:p>
                      <w:pPr>
                        <w:spacing w:line="0" w:lineRule="atLeast"/>
                        <w:rPr>
                          <w:rFonts w:ascii="Times New Roman" w:hAnsi="Times New Roman" w:eastAsia="宋体"/>
                          <w:sz w:val="2"/>
                          <w:szCs w:val="2"/>
                        </w:rPr>
                      </w:pPr>
                    </w:p>
                  </w:txbxContent>
                </v:textbox>
              </v:shape>
            </w:pict>
          </mc:Fallback>
        </mc:AlternateContent>
      </w:r>
      <w:bookmarkStart w:id="1" w:name="_GoBack"/>
      <w:bookmarkEnd w:id="1"/>
    </w:p>
    <w:sectPr>
      <w:footerReference r:id="rId3" w:type="default"/>
      <w:footerReference r:id="rId4" w:type="even"/>
      <w:type w:val="continuous"/>
      <w:pgSz w:w="11906" w:h="16838"/>
      <w:pgMar w:top="1440" w:right="1417" w:bottom="1440" w:left="1417" w:header="851" w:footer="992" w:gutter="0"/>
      <w:pgNumType w:fmt="numberInDash" w:start="2"/>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90203"/>
    <w:charset w:val="00"/>
    <w:family w:val="auto"/>
    <w:pitch w:val="default"/>
    <w:sig w:usb0="E10002FF" w:usb1="4000E47F" w:usb2="00000029"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方正小标宋_GBK"/>
    <w:panose1 w:val="00000000000000000000"/>
    <w:charset w:val="86"/>
    <w:family w:val="script"/>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国标宋体">
    <w:panose1 w:val="02000500000000000000"/>
    <w:charset w:val="86"/>
    <w:family w:val="auto"/>
    <w:pitch w:val="default"/>
    <w:sig w:usb0="00000001" w:usb1="28000000" w:usb2="00000000" w:usb3="00000000" w:csb0="00060007" w:csb1="00000000"/>
  </w:font>
  <w:font w:name="方正仿宋简体">
    <w:altName w:val="方正仿宋_GBK"/>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8"/>
      </w:rPr>
    </w:sdtEndPr>
    <w:sdtContent>
      <w:p>
        <w:pPr>
          <w:pStyle w:val="5"/>
          <w:jc w:val="right"/>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1 -</w:t>
        </w:r>
        <w:r>
          <w:rPr>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6158588"/>
      <w:docPartObj>
        <w:docPartGallery w:val="autotext"/>
      </w:docPartObj>
    </w:sdtPr>
    <w:sdtEndPr>
      <w:rPr>
        <w:sz w:val="20"/>
      </w:rPr>
    </w:sdtEndPr>
    <w:sdtContent>
      <w:p>
        <w:pPr>
          <w:pStyle w:val="5"/>
          <w:rPr>
            <w:sz w:val="20"/>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2 -</w:t>
        </w:r>
        <w:r>
          <w:rPr>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6583D"/>
    <w:multiLevelType w:val="singleLevel"/>
    <w:tmpl w:val="B21658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3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NmE4ZjgxODQwYjkyYjQ1OWIzMmQxNTM2YmRkODgifQ=="/>
  </w:docVars>
  <w:rsids>
    <w:rsidRoot w:val="00A836A4"/>
    <w:rsid w:val="00112F19"/>
    <w:rsid w:val="001E1E71"/>
    <w:rsid w:val="00236737"/>
    <w:rsid w:val="00253DFD"/>
    <w:rsid w:val="00276C07"/>
    <w:rsid w:val="002966DA"/>
    <w:rsid w:val="002D59D8"/>
    <w:rsid w:val="002E7195"/>
    <w:rsid w:val="002F7BB7"/>
    <w:rsid w:val="003211B5"/>
    <w:rsid w:val="00341227"/>
    <w:rsid w:val="00351A21"/>
    <w:rsid w:val="00372ED5"/>
    <w:rsid w:val="0044413B"/>
    <w:rsid w:val="0045369F"/>
    <w:rsid w:val="004A2E3A"/>
    <w:rsid w:val="00513220"/>
    <w:rsid w:val="00620E31"/>
    <w:rsid w:val="007A3E7B"/>
    <w:rsid w:val="007F152F"/>
    <w:rsid w:val="00905A55"/>
    <w:rsid w:val="00A7655E"/>
    <w:rsid w:val="00A836A4"/>
    <w:rsid w:val="00B13FC4"/>
    <w:rsid w:val="00BB3DB8"/>
    <w:rsid w:val="00C64CF9"/>
    <w:rsid w:val="00C94FBC"/>
    <w:rsid w:val="00EF03BA"/>
    <w:rsid w:val="00F4242C"/>
    <w:rsid w:val="00F64A04"/>
    <w:rsid w:val="00FF5BF5"/>
    <w:rsid w:val="0FF6EA0B"/>
    <w:rsid w:val="1B5F7D85"/>
    <w:rsid w:val="1BBDE50E"/>
    <w:rsid w:val="1F7B1E02"/>
    <w:rsid w:val="1FB7C3F6"/>
    <w:rsid w:val="1FDE0921"/>
    <w:rsid w:val="21B97EBC"/>
    <w:rsid w:val="2DBF3FF1"/>
    <w:rsid w:val="2F474EB5"/>
    <w:rsid w:val="2F9F7458"/>
    <w:rsid w:val="2FE7805F"/>
    <w:rsid w:val="33B8633B"/>
    <w:rsid w:val="38FFFC0A"/>
    <w:rsid w:val="3EBF0002"/>
    <w:rsid w:val="3FAD36DB"/>
    <w:rsid w:val="475BA419"/>
    <w:rsid w:val="5BBDC652"/>
    <w:rsid w:val="5BC537D1"/>
    <w:rsid w:val="5BF91460"/>
    <w:rsid w:val="5ED760EA"/>
    <w:rsid w:val="5FB7300D"/>
    <w:rsid w:val="5FF30F8A"/>
    <w:rsid w:val="656FD24B"/>
    <w:rsid w:val="6D0B64AF"/>
    <w:rsid w:val="73E746B8"/>
    <w:rsid w:val="75E7B9C8"/>
    <w:rsid w:val="76DBD779"/>
    <w:rsid w:val="76F24C7A"/>
    <w:rsid w:val="77EE10C8"/>
    <w:rsid w:val="79BF7B43"/>
    <w:rsid w:val="79FF44E7"/>
    <w:rsid w:val="7A5F7644"/>
    <w:rsid w:val="7A7E80BB"/>
    <w:rsid w:val="7AF3B1EE"/>
    <w:rsid w:val="7AFA46E7"/>
    <w:rsid w:val="7CF95E18"/>
    <w:rsid w:val="7CFF307F"/>
    <w:rsid w:val="7D37FCD6"/>
    <w:rsid w:val="7DF68AE8"/>
    <w:rsid w:val="7DFFE030"/>
    <w:rsid w:val="7F7584B1"/>
    <w:rsid w:val="7FBFB317"/>
    <w:rsid w:val="7FDDEFC2"/>
    <w:rsid w:val="7FFDE0E1"/>
    <w:rsid w:val="7FFFAEFF"/>
    <w:rsid w:val="83FFBA7B"/>
    <w:rsid w:val="8DE4184E"/>
    <w:rsid w:val="8FFF1EDE"/>
    <w:rsid w:val="9DD6A33E"/>
    <w:rsid w:val="A8EF4A63"/>
    <w:rsid w:val="ACF544E6"/>
    <w:rsid w:val="B9FF0D72"/>
    <w:rsid w:val="BAFDD689"/>
    <w:rsid w:val="BB7B31B9"/>
    <w:rsid w:val="BDFCD2F4"/>
    <w:rsid w:val="BDFF703B"/>
    <w:rsid w:val="BFBE5A0F"/>
    <w:rsid w:val="BFFF23E4"/>
    <w:rsid w:val="CF2FF7CC"/>
    <w:rsid w:val="CF9FA8F5"/>
    <w:rsid w:val="CFE9A312"/>
    <w:rsid w:val="CFFF1F12"/>
    <w:rsid w:val="D6F60F51"/>
    <w:rsid w:val="D7BB3AAE"/>
    <w:rsid w:val="DB3E4FF6"/>
    <w:rsid w:val="DB9E0322"/>
    <w:rsid w:val="DBDD11D2"/>
    <w:rsid w:val="DBFDDC9B"/>
    <w:rsid w:val="DDF7E3E7"/>
    <w:rsid w:val="DF7CA1DA"/>
    <w:rsid w:val="DFB6E237"/>
    <w:rsid w:val="DFDF9F51"/>
    <w:rsid w:val="DFFE3A12"/>
    <w:rsid w:val="E5DF96EF"/>
    <w:rsid w:val="E7AF7749"/>
    <w:rsid w:val="E7B64DE1"/>
    <w:rsid w:val="E8BBAF05"/>
    <w:rsid w:val="EBEB4A1A"/>
    <w:rsid w:val="EEB2FA8F"/>
    <w:rsid w:val="EFDB1D81"/>
    <w:rsid w:val="F4B7CABF"/>
    <w:rsid w:val="F59FAF9F"/>
    <w:rsid w:val="F6FF9093"/>
    <w:rsid w:val="F7FD17B5"/>
    <w:rsid w:val="FDDFFC49"/>
    <w:rsid w:val="FEED9870"/>
    <w:rsid w:val="FF9BF607"/>
    <w:rsid w:val="FFBF7B65"/>
    <w:rsid w:val="FFDFC1BF"/>
    <w:rsid w:val="FFF5A8D0"/>
    <w:rsid w:val="FFFF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line="0" w:lineRule="atLeast"/>
    </w:pPr>
    <w:rPr>
      <w:rFonts w:eastAsia="小标宋"/>
      <w:sz w:val="44"/>
      <w:szCs w:val="32"/>
    </w:rPr>
  </w:style>
  <w:style w:type="paragraph" w:styleId="3">
    <w:name w:val="Date"/>
    <w:basedOn w:val="1"/>
    <w:next w:val="1"/>
    <w:link w:val="15"/>
    <w:unhideWhenUsed/>
    <w:qFormat/>
    <w:uiPriority w:val="99"/>
    <w:pPr>
      <w:ind w:left="100" w:leftChars="2500"/>
    </w:pPr>
    <w:rPr>
      <w:rFonts w:ascii="Times New Roman" w:hAnsi="Times New Roman" w:eastAsia="宋体"/>
      <w:sz w:val="21"/>
      <w:szCs w:val="20"/>
    </w:rPr>
  </w:style>
  <w:style w:type="paragraph" w:styleId="4">
    <w:name w:val="Balloon Text"/>
    <w:basedOn w:val="1"/>
    <w:link w:val="16"/>
    <w:unhideWhenUsed/>
    <w:qFormat/>
    <w:uiPriority w:val="99"/>
    <w:rPr>
      <w:rFonts w:ascii="Times New Roman" w:hAnsi="Times New Roman" w:eastAsia="宋体"/>
      <w:sz w:val="18"/>
      <w:szCs w:val="18"/>
    </w:rPr>
  </w:style>
  <w:style w:type="paragraph" w:styleId="5">
    <w:name w:val="footer"/>
    <w:basedOn w:val="1"/>
    <w:link w:val="14"/>
    <w:qFormat/>
    <w:uiPriority w:val="0"/>
    <w:pPr>
      <w:tabs>
        <w:tab w:val="center" w:pos="4153"/>
        <w:tab w:val="right" w:pos="8306"/>
      </w:tabs>
      <w:snapToGrid w:val="0"/>
      <w:jc w:val="left"/>
    </w:pPr>
    <w:rPr>
      <w:rFonts w:ascii="Times New Roman" w:hAnsi="Times New Roman" w:eastAsia="宋体"/>
      <w:sz w:val="18"/>
      <w:szCs w:val="20"/>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sz w:val="18"/>
      <w:szCs w:val="20"/>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正文文本 Char"/>
    <w:link w:val="2"/>
    <w:qFormat/>
    <w:uiPriority w:val="0"/>
    <w:rPr>
      <w:rFonts w:ascii="宋体" w:hAnsi="宋体" w:eastAsia="小标宋" w:cs="Times New Roman"/>
      <w:sz w:val="44"/>
      <w:szCs w:val="32"/>
    </w:rPr>
  </w:style>
  <w:style w:type="character" w:customStyle="1" w:styleId="12">
    <w:name w:val="正文文本 Char1"/>
    <w:basedOn w:val="9"/>
    <w:semiHidden/>
    <w:qFormat/>
    <w:uiPriority w:val="99"/>
    <w:rPr>
      <w:rFonts w:ascii="宋体" w:hAnsi="宋体" w:eastAsia="仿宋_GB2312" w:cs="Times New Roman"/>
      <w:sz w:val="32"/>
    </w:rPr>
  </w:style>
  <w:style w:type="character" w:customStyle="1" w:styleId="13">
    <w:name w:val="页眉 Char"/>
    <w:basedOn w:val="9"/>
    <w:link w:val="6"/>
    <w:qFormat/>
    <w:uiPriority w:val="0"/>
    <w:rPr>
      <w:rFonts w:ascii="Times New Roman" w:hAnsi="Times New Roman" w:eastAsia="宋体" w:cs="Times New Roman"/>
      <w:sz w:val="18"/>
      <w:szCs w:val="20"/>
    </w:rPr>
  </w:style>
  <w:style w:type="character" w:customStyle="1" w:styleId="14">
    <w:name w:val="页脚 Char"/>
    <w:basedOn w:val="9"/>
    <w:link w:val="5"/>
    <w:qFormat/>
    <w:uiPriority w:val="99"/>
    <w:rPr>
      <w:rFonts w:ascii="Times New Roman" w:hAnsi="Times New Roman" w:eastAsia="宋体" w:cs="Times New Roman"/>
      <w:sz w:val="18"/>
      <w:szCs w:val="20"/>
    </w:rPr>
  </w:style>
  <w:style w:type="character" w:customStyle="1" w:styleId="15">
    <w:name w:val="日期 Char"/>
    <w:basedOn w:val="9"/>
    <w:link w:val="3"/>
    <w:semiHidden/>
    <w:qFormat/>
    <w:uiPriority w:val="99"/>
    <w:rPr>
      <w:rFonts w:ascii="Times New Roman" w:hAnsi="Times New Roman" w:eastAsia="宋体" w:cs="Times New Roman"/>
      <w:szCs w:val="20"/>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font11"/>
    <w:basedOn w:val="9"/>
    <w:qFormat/>
    <w:uiPriority w:val="0"/>
    <w:rPr>
      <w:rFonts w:hint="default" w:ascii="Times New Roman" w:hAnsi="Times New Roman" w:cs="Times New Roman"/>
      <w:color w:val="000000"/>
      <w:sz w:val="21"/>
      <w:szCs w:val="21"/>
      <w:u w:val="none"/>
    </w:rPr>
  </w:style>
  <w:style w:type="character" w:customStyle="1" w:styleId="18">
    <w:name w:val="font31"/>
    <w:basedOn w:val="9"/>
    <w:qFormat/>
    <w:uiPriority w:val="0"/>
    <w:rPr>
      <w:rFonts w:hint="eastAsia" w:ascii="宋体" w:hAnsi="宋体" w:eastAsia="宋体" w:cs="宋体"/>
      <w:color w:val="000000"/>
      <w:sz w:val="21"/>
      <w:szCs w:val="21"/>
      <w:u w:val="none"/>
    </w:rPr>
  </w:style>
  <w:style w:type="character" w:customStyle="1" w:styleId="19">
    <w:name w:val="font4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2802</Words>
  <Characters>15972</Characters>
  <Lines>133</Lines>
  <Paragraphs>37</Paragraphs>
  <TotalTime>56</TotalTime>
  <ScaleCrop>false</ScaleCrop>
  <LinksUpToDate>false</LinksUpToDate>
  <CharactersWithSpaces>18737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2020-08-22T01:22:00Z</dcterms:created>
  <dc:creator>Administrator</dc:creator>
  <cp:lastModifiedBy>lenovo</cp:lastModifiedBy>
  <cp:lastPrinted>2024-12-26T01:33:00Z</cp:lastPrinted>
  <dcterms:modified xsi:type="dcterms:W3CDTF">2024-12-26T10:31:07Z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E9174765E74C1B0648BF6C67528D6AB8_43</vt:lpwstr>
  </property>
</Properties>
</file>